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8CBB3" w14:textId="21988099" w:rsidR="00451CA7" w:rsidRDefault="00451CA7" w:rsidP="00451CA7">
      <w:pPr>
        <w:jc w:val="center"/>
        <w:rPr>
          <w:sz w:val="24"/>
          <w:szCs w:val="24"/>
        </w:rPr>
      </w:pPr>
      <w:r>
        <w:rPr>
          <w:noProof/>
        </w:rPr>
        <w:drawing>
          <wp:inline distT="0" distB="0" distL="0" distR="0" wp14:anchorId="7DA8CACB" wp14:editId="07389AD5">
            <wp:extent cx="1638300"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638300" cy="609600"/>
                    </a:xfrm>
                    <a:prstGeom prst="rect">
                      <a:avLst/>
                    </a:prstGeom>
                    <a:noFill/>
                    <a:ln>
                      <a:noFill/>
                    </a:ln>
                  </pic:spPr>
                </pic:pic>
              </a:graphicData>
            </a:graphic>
          </wp:inline>
        </w:drawing>
      </w:r>
    </w:p>
    <w:p w14:paraId="682B78E7" w14:textId="77777777" w:rsidR="00451CA7" w:rsidRDefault="00451CA7" w:rsidP="00451CA7"/>
    <w:p w14:paraId="66CA1ED1" w14:textId="2502365E" w:rsidR="00451CA7" w:rsidRDefault="00042E82" w:rsidP="00451CA7">
      <w:pPr>
        <w:jc w:val="center"/>
        <w:rPr>
          <w:b/>
          <w:bCs/>
          <w:u w:val="single"/>
        </w:rPr>
      </w:pPr>
      <w:r>
        <w:rPr>
          <w:b/>
          <w:bCs/>
        </w:rPr>
        <w:t>NOTES</w:t>
      </w:r>
    </w:p>
    <w:p w14:paraId="730D1D27" w14:textId="769A0BFB" w:rsidR="00451CA7" w:rsidRDefault="00343D40" w:rsidP="00451CA7">
      <w:pPr>
        <w:jc w:val="center"/>
        <w:rPr>
          <w:b/>
          <w:bCs/>
        </w:rPr>
      </w:pPr>
      <w:r>
        <w:rPr>
          <w:b/>
          <w:bCs/>
        </w:rPr>
        <w:t>State Lobbyist Network</w:t>
      </w:r>
      <w:r w:rsidR="00451CA7" w:rsidRPr="00BA5CBA">
        <w:rPr>
          <w:b/>
          <w:bCs/>
        </w:rPr>
        <w:t xml:space="preserve"> </w:t>
      </w:r>
      <w:r w:rsidR="00357341" w:rsidRPr="00BA5CBA">
        <w:rPr>
          <w:b/>
          <w:bCs/>
        </w:rPr>
        <w:t>Meeting</w:t>
      </w:r>
      <w:r w:rsidR="00451CA7" w:rsidRPr="00BA5CBA">
        <w:rPr>
          <w:b/>
          <w:bCs/>
        </w:rPr>
        <w:t xml:space="preserve"> – </w:t>
      </w:r>
      <w:r w:rsidR="002F2B2F">
        <w:rPr>
          <w:b/>
          <w:bCs/>
        </w:rPr>
        <w:t>December</w:t>
      </w:r>
    </w:p>
    <w:p w14:paraId="02203778" w14:textId="77777777" w:rsidR="00BA5CBA" w:rsidRPr="00BA5CBA" w:rsidRDefault="00BA5CBA" w:rsidP="00451CA7">
      <w:pPr>
        <w:jc w:val="center"/>
        <w:rPr>
          <w:b/>
          <w:bCs/>
        </w:rPr>
      </w:pPr>
    </w:p>
    <w:p w14:paraId="402DEF20" w14:textId="5DB890EF" w:rsidR="00527F2F" w:rsidRPr="003E44B6" w:rsidRDefault="0020611A" w:rsidP="00527F2F">
      <w:pPr>
        <w:pStyle w:val="PlainText"/>
        <w:jc w:val="center"/>
      </w:pPr>
      <w:r>
        <w:t>Tuesday, December</w:t>
      </w:r>
      <w:r w:rsidR="002F2B2F">
        <w:t xml:space="preserve"> 9</w:t>
      </w:r>
      <w:r w:rsidR="00B61381">
        <w:t xml:space="preserve"> </w:t>
      </w:r>
    </w:p>
    <w:p w14:paraId="309CDD50" w14:textId="77777777" w:rsidR="00FD72C7" w:rsidRDefault="00FD72C7" w:rsidP="00B4110C"/>
    <w:p w14:paraId="5611F57D" w14:textId="786C666B" w:rsidR="006877A5" w:rsidRDefault="0026751C" w:rsidP="00FB580D">
      <w:pPr>
        <w:pStyle w:val="ListParagraph"/>
        <w:numPr>
          <w:ilvl w:val="0"/>
          <w:numId w:val="1"/>
        </w:numPr>
      </w:pPr>
      <w:r>
        <w:t>NASSP 2026 National Education Advocacy Summit – November 15-18</w:t>
      </w:r>
      <w:r w:rsidR="00EB7219">
        <w:t>, Mayflower Hotel – Washington, DC</w:t>
      </w:r>
    </w:p>
    <w:p w14:paraId="16E7CF8C" w14:textId="6EE667AA" w:rsidR="006877A5" w:rsidRDefault="006877A5" w:rsidP="006877A5">
      <w:pPr>
        <w:pStyle w:val="ListParagraph"/>
        <w:numPr>
          <w:ilvl w:val="1"/>
          <w:numId w:val="1"/>
        </w:numPr>
      </w:pPr>
      <w:hyperlink r:id="rId12" w:history="1">
        <w:r w:rsidRPr="00770153">
          <w:rPr>
            <w:rStyle w:val="Hyperlink"/>
          </w:rPr>
          <w:t>Message from R</w:t>
        </w:r>
        <w:r w:rsidRPr="00770153">
          <w:rPr>
            <w:rStyle w:val="Hyperlink"/>
          </w:rPr>
          <w:t>o</w:t>
        </w:r>
        <w:r w:rsidRPr="00770153">
          <w:rPr>
            <w:rStyle w:val="Hyperlink"/>
          </w:rPr>
          <w:t>nn</w:t>
        </w:r>
      </w:hyperlink>
    </w:p>
    <w:p w14:paraId="47D3BBD2" w14:textId="44FA4577" w:rsidR="006877A5" w:rsidRDefault="006877A5" w:rsidP="006877A5">
      <w:pPr>
        <w:pStyle w:val="ListParagraph"/>
        <w:numPr>
          <w:ilvl w:val="1"/>
          <w:numId w:val="1"/>
        </w:numPr>
      </w:pPr>
      <w:hyperlink r:id="rId13" w:history="1">
        <w:r w:rsidRPr="00FB580D">
          <w:rPr>
            <w:rStyle w:val="Hyperlink"/>
          </w:rPr>
          <w:t>NASSP events sc</w:t>
        </w:r>
        <w:r w:rsidRPr="00FB580D">
          <w:rPr>
            <w:rStyle w:val="Hyperlink"/>
          </w:rPr>
          <w:t>h</w:t>
        </w:r>
        <w:r w:rsidRPr="00FB580D">
          <w:rPr>
            <w:rStyle w:val="Hyperlink"/>
          </w:rPr>
          <w:t>edule 2025-2027</w:t>
        </w:r>
      </w:hyperlink>
    </w:p>
    <w:p w14:paraId="0D5ABB03" w14:textId="77777777" w:rsidR="00226E34" w:rsidRDefault="00226E34" w:rsidP="00226E34"/>
    <w:p w14:paraId="1163E836" w14:textId="77777777" w:rsidR="006B32D9" w:rsidRDefault="006B32D9" w:rsidP="006B32D9">
      <w:pPr>
        <w:pStyle w:val="ListParagraph"/>
        <w:numPr>
          <w:ilvl w:val="0"/>
          <w:numId w:val="1"/>
        </w:numPr>
      </w:pPr>
      <w:r>
        <w:t>Federal policy update and discussion</w:t>
      </w:r>
    </w:p>
    <w:p w14:paraId="6C607A54" w14:textId="502629B1" w:rsidR="002134B9" w:rsidRDefault="009724C1" w:rsidP="002134B9">
      <w:pPr>
        <w:pStyle w:val="ListParagraph"/>
        <w:numPr>
          <w:ilvl w:val="1"/>
          <w:numId w:val="1"/>
        </w:numPr>
      </w:pPr>
      <w:r>
        <w:t>FY 2026 appropriations</w:t>
      </w:r>
    </w:p>
    <w:p w14:paraId="62520CE8" w14:textId="1A112326" w:rsidR="006B0035" w:rsidRDefault="00A47537" w:rsidP="009724C1">
      <w:pPr>
        <w:pStyle w:val="ListParagraph"/>
        <w:numPr>
          <w:ilvl w:val="2"/>
          <w:numId w:val="1"/>
        </w:numPr>
      </w:pPr>
      <w:r>
        <w:t xml:space="preserve">Continuing Resolution passed to end government shutdown on 11/12 </w:t>
      </w:r>
    </w:p>
    <w:p w14:paraId="764B7B22" w14:textId="41D81468" w:rsidR="00E77963" w:rsidRDefault="00E77963" w:rsidP="00E77963">
      <w:pPr>
        <w:pStyle w:val="ListParagraph"/>
        <w:numPr>
          <w:ilvl w:val="3"/>
          <w:numId w:val="1"/>
        </w:numPr>
      </w:pPr>
      <w:r w:rsidRPr="00E77963">
        <w:t>Congress passed three full-year appropriations bills and funding for the Legislative Branch, Military Construction, Veterans Affairs, Agriculture, Rural Development, and the Food and Drug Administration.</w:t>
      </w:r>
    </w:p>
    <w:p w14:paraId="6726C6CB" w14:textId="09857E31" w:rsidR="00930362" w:rsidRDefault="00930362" w:rsidP="00E77963">
      <w:pPr>
        <w:pStyle w:val="ListParagraph"/>
        <w:numPr>
          <w:ilvl w:val="3"/>
          <w:numId w:val="1"/>
        </w:numPr>
      </w:pPr>
      <w:r w:rsidRPr="00930362">
        <w:t xml:space="preserve">The remainder of funding for FY </w:t>
      </w:r>
      <w:r>
        <w:t>20</w:t>
      </w:r>
      <w:r w:rsidRPr="00930362">
        <w:t>26</w:t>
      </w:r>
      <w:r>
        <w:t>,</w:t>
      </w:r>
      <w:r w:rsidRPr="00930362">
        <w:t xml:space="preserve"> 9 funding bills including the Labor, Health and Human Services and Education bill is currently in a Continuing Resolution through January 30, 2026</w:t>
      </w:r>
      <w:r>
        <w:t>. Congress must pass those final funding bills by then to avoid another partial government shutdown.</w:t>
      </w:r>
    </w:p>
    <w:p w14:paraId="70B4D803" w14:textId="77777777" w:rsidR="002F4FB1" w:rsidRDefault="002F4FB1" w:rsidP="002F4FB1">
      <w:pPr>
        <w:pStyle w:val="ListParagraph"/>
        <w:numPr>
          <w:ilvl w:val="3"/>
          <w:numId w:val="1"/>
        </w:numPr>
      </w:pPr>
      <w:r>
        <w:t>The Labor-HHS-ED bills approved by the House and Senate Appropriations Committees are more than $12 billion apart.</w:t>
      </w:r>
    </w:p>
    <w:p w14:paraId="64CFE033" w14:textId="1A02D9C1" w:rsidR="002F4FB1" w:rsidRDefault="002F4FB1" w:rsidP="00E136CF">
      <w:pPr>
        <w:pStyle w:val="ListParagraph"/>
        <w:numPr>
          <w:ilvl w:val="2"/>
          <w:numId w:val="1"/>
        </w:numPr>
      </w:pPr>
      <w:r>
        <w:t xml:space="preserve">Current FY 2026 funding </w:t>
      </w:r>
      <w:r w:rsidR="00E136CF">
        <w:t>proposals for Labor-HHS-Ed</w:t>
      </w:r>
    </w:p>
    <w:p w14:paraId="15D90123" w14:textId="59EC2F13" w:rsidR="002F4FB1" w:rsidRDefault="002F4FB1" w:rsidP="002F4FB1">
      <w:pPr>
        <w:pStyle w:val="ListParagraph"/>
        <w:numPr>
          <w:ilvl w:val="3"/>
          <w:numId w:val="1"/>
        </w:numPr>
      </w:pPr>
      <w:r>
        <w:t xml:space="preserve">House bill </w:t>
      </w:r>
      <w:r w:rsidR="00E136CF">
        <w:t>–</w:t>
      </w:r>
      <w:r>
        <w:t xml:space="preserve"> The bill almost exactly matches the President’s request to slash funding for Department of Education (ED) programs by $12.4 billion (15.6%) below the FY 2024 level as part of the bill’s deep 11% overall cut in funding. </w:t>
      </w:r>
    </w:p>
    <w:p w14:paraId="410D51D0" w14:textId="77777777" w:rsidR="002F4FB1" w:rsidRDefault="002F4FB1" w:rsidP="00E136CF">
      <w:pPr>
        <w:pStyle w:val="ListParagraph"/>
        <w:numPr>
          <w:ilvl w:val="4"/>
          <w:numId w:val="1"/>
        </w:numPr>
      </w:pPr>
      <w:r>
        <w:t>Some critical programs like Title I would receive steep cuts in this bill, and others like Title II are completely eliminated.</w:t>
      </w:r>
    </w:p>
    <w:p w14:paraId="370877F2" w14:textId="49410CAE" w:rsidR="002F4FB1" w:rsidRDefault="002F4FB1" w:rsidP="002F4FB1">
      <w:pPr>
        <w:pStyle w:val="ListParagraph"/>
        <w:numPr>
          <w:ilvl w:val="3"/>
          <w:numId w:val="1"/>
        </w:numPr>
      </w:pPr>
      <w:r>
        <w:t xml:space="preserve">Senate bill </w:t>
      </w:r>
      <w:r w:rsidR="00E136CF">
        <w:t>–</w:t>
      </w:r>
      <w:r>
        <w:t xml:space="preserve"> the Senate Appropriations Committee approved its 2026 Labor-HHS-Education bill by a vote of 26-3</w:t>
      </w:r>
      <w:r w:rsidR="00E136CF">
        <w:t xml:space="preserve"> over the summer</w:t>
      </w:r>
      <w:r>
        <w:t xml:space="preserve">. The bill essentially freezes Department of Education (ED) funding at the FY 2024 (and thus the FY 2025 Continuing Resolution level), rejecting the President’s request to cut Education funding by $12.4 billion (15.6%). It has a few small increases and cuts for programs, but </w:t>
      </w:r>
      <w:r w:rsidR="00E136CF">
        <w:t>overall it is a</w:t>
      </w:r>
      <w:r>
        <w:t xml:space="preserve"> wholesale rejection of the Administration’s ongoing efforts to rescind funding, eliminate programs, block-grant special education funding, gut the Department of Education staff</w:t>
      </w:r>
      <w:r w:rsidR="00E136CF">
        <w:t xml:space="preserve">, </w:t>
      </w:r>
      <w:r>
        <w:t>and plans to shift some education programs to other federal agencies.</w:t>
      </w:r>
    </w:p>
    <w:p w14:paraId="5AEE6185" w14:textId="6B187BDC" w:rsidR="002F4FB1" w:rsidRDefault="00E136CF" w:rsidP="00E136CF">
      <w:pPr>
        <w:pStyle w:val="ListParagraph"/>
        <w:numPr>
          <w:ilvl w:val="4"/>
          <w:numId w:val="1"/>
        </w:numPr>
      </w:pPr>
      <w:r>
        <w:t xml:space="preserve">The senate bill also has language included requiring the administration to distribute </w:t>
      </w:r>
      <w:r w:rsidR="002F4FB1">
        <w:t>state grant funding on time – the bill requires funding for ESSA programs to be given to states “on the date such funds become available for obligation.” This is a big rebuke to the Administration for withholding almost $7 billion in education state grants earlier this year.</w:t>
      </w:r>
    </w:p>
    <w:p w14:paraId="15AC1E9F" w14:textId="1504415A" w:rsidR="002F4FB1" w:rsidRDefault="002F4FB1" w:rsidP="00E136CF">
      <w:pPr>
        <w:pStyle w:val="ListParagraph"/>
        <w:numPr>
          <w:ilvl w:val="4"/>
          <w:numId w:val="1"/>
        </w:numPr>
      </w:pPr>
      <w:r>
        <w:t xml:space="preserve">It remains to be seen if the Senate will include additional provisions in the new version of this bill they are working on now that will further prevent the administration from withholding or rescinding funding as it sees fit. </w:t>
      </w:r>
      <w:r>
        <w:lastRenderedPageBreak/>
        <w:t xml:space="preserve">Senators Baldwin and Murray are also exploring provisions that would expressly prevent the administration from closing agencies like ED or transferring staff and programs to other agencies. </w:t>
      </w:r>
    </w:p>
    <w:p w14:paraId="071F6719" w14:textId="77777777" w:rsidR="002F4FB1" w:rsidRDefault="002F4FB1" w:rsidP="00E136CF">
      <w:pPr>
        <w:pStyle w:val="ListParagraph"/>
        <w:numPr>
          <w:ilvl w:val="2"/>
          <w:numId w:val="1"/>
        </w:numPr>
      </w:pPr>
      <w:r>
        <w:t xml:space="preserve">The Senate had hoped to bundle up to five bills for floor consideration this month in a large “omnibus” which could include Defense, Labor-HHS Education, Interior, Commerce-Justice-Science, and Transportation-HUD. </w:t>
      </w:r>
    </w:p>
    <w:p w14:paraId="5AC2D96F" w14:textId="5F4BE5F9" w:rsidR="002F4FB1" w:rsidRDefault="002F4FB1" w:rsidP="002F4FB1">
      <w:pPr>
        <w:pStyle w:val="ListParagraph"/>
        <w:numPr>
          <w:ilvl w:val="3"/>
          <w:numId w:val="1"/>
        </w:numPr>
      </w:pPr>
      <w:r>
        <w:t>Republican Senators first need to agree on amendments.</w:t>
      </w:r>
    </w:p>
    <w:p w14:paraId="001C6FBD" w14:textId="77777777" w:rsidR="002F4FB1" w:rsidRDefault="002F4FB1" w:rsidP="002F4FB1">
      <w:pPr>
        <w:pStyle w:val="ListParagraph"/>
        <w:numPr>
          <w:ilvl w:val="3"/>
          <w:numId w:val="1"/>
        </w:numPr>
      </w:pPr>
      <w:r>
        <w:t>The House is waiting to see what the Senate can pass before it brings remaining bills to the floor.</w:t>
      </w:r>
    </w:p>
    <w:p w14:paraId="5DF7552A" w14:textId="4F440F93" w:rsidR="002F4FB1" w:rsidRDefault="002F4FB1" w:rsidP="00E136CF">
      <w:pPr>
        <w:pStyle w:val="ListParagraph"/>
        <w:numPr>
          <w:ilvl w:val="4"/>
          <w:numId w:val="1"/>
        </w:numPr>
      </w:pPr>
      <w:r>
        <w:t>House Republican Appropriations Chairman Tom Cole has said that any bills not enacted by time the existing extension of funding expires on January 30, the bills should be extended at current levels (FY24) for the remainder of the fiscal year – something that almost nobody wants for a variety of reasons</w:t>
      </w:r>
      <w:r w:rsidR="003915D1">
        <w:t xml:space="preserve">, one of which being that </w:t>
      </w:r>
      <w:r>
        <w:t>it would also allow the Administration to</w:t>
      </w:r>
      <w:r w:rsidR="003915D1">
        <w:t xml:space="preserve"> continue to</w:t>
      </w:r>
      <w:r>
        <w:t xml:space="preserve"> move funding around </w:t>
      </w:r>
      <w:r w:rsidR="003915D1">
        <w:t xml:space="preserve">in ways </w:t>
      </w:r>
      <w:r>
        <w:t>not authorized by Congress which is what happened with the FY</w:t>
      </w:r>
      <w:r w:rsidR="003915D1">
        <w:t>20</w:t>
      </w:r>
      <w:r>
        <w:t>25 Continuing Resolution funds.</w:t>
      </w:r>
    </w:p>
    <w:p w14:paraId="00151C30" w14:textId="30567466" w:rsidR="009724C1" w:rsidRPr="00D13C88" w:rsidRDefault="00D12EFD" w:rsidP="009724C1">
      <w:pPr>
        <w:pStyle w:val="ListParagraph"/>
        <w:numPr>
          <w:ilvl w:val="2"/>
          <w:numId w:val="1"/>
        </w:numPr>
        <w:rPr>
          <w:b/>
          <w:bCs/>
        </w:rPr>
      </w:pPr>
      <w:r w:rsidRPr="00D13C88">
        <w:rPr>
          <w:b/>
          <w:bCs/>
        </w:rPr>
        <w:t xml:space="preserve">New </w:t>
      </w:r>
      <w:hyperlink r:id="rId14" w:history="1">
        <w:r w:rsidR="009724C1" w:rsidRPr="00D13C88">
          <w:rPr>
            <w:rStyle w:val="Hyperlink"/>
            <w:b/>
            <w:bCs/>
          </w:rPr>
          <w:t>NASSP a</w:t>
        </w:r>
        <w:r w:rsidR="009724C1" w:rsidRPr="00D13C88">
          <w:rPr>
            <w:rStyle w:val="Hyperlink"/>
            <w:b/>
            <w:bCs/>
          </w:rPr>
          <w:t>c</w:t>
        </w:r>
        <w:r w:rsidR="009724C1" w:rsidRPr="00D13C88">
          <w:rPr>
            <w:rStyle w:val="Hyperlink"/>
            <w:b/>
            <w:bCs/>
          </w:rPr>
          <w:t>tion alert</w:t>
        </w:r>
      </w:hyperlink>
      <w:r w:rsidR="003915D1" w:rsidRPr="00D13C88">
        <w:rPr>
          <w:b/>
          <w:bCs/>
        </w:rPr>
        <w:t xml:space="preserve"> </w:t>
      </w:r>
      <w:r w:rsidR="00D13C88" w:rsidRPr="00D13C88">
        <w:rPr>
          <w:b/>
          <w:bCs/>
        </w:rPr>
        <w:t>–</w:t>
      </w:r>
      <w:r w:rsidR="003915D1" w:rsidRPr="00D13C88">
        <w:rPr>
          <w:b/>
          <w:bCs/>
        </w:rPr>
        <w:t xml:space="preserve"> </w:t>
      </w:r>
      <w:r w:rsidR="00D13C88" w:rsidRPr="00D13C88">
        <w:rPr>
          <w:b/>
          <w:bCs/>
        </w:rPr>
        <w:t>please use this new campaign to send messages to your members of Congress and share with school leaders in your state!</w:t>
      </w:r>
    </w:p>
    <w:p w14:paraId="6603EA5B" w14:textId="1D97D746" w:rsidR="001F15E1" w:rsidRDefault="00BE4D7A" w:rsidP="001F15E1">
      <w:pPr>
        <w:pStyle w:val="ListParagraph"/>
        <w:numPr>
          <w:ilvl w:val="1"/>
          <w:numId w:val="1"/>
        </w:numPr>
      </w:pPr>
      <w:r>
        <w:t>Administration updates</w:t>
      </w:r>
    </w:p>
    <w:p w14:paraId="24CB3CA4" w14:textId="33D91942" w:rsidR="00BE4D7A" w:rsidRDefault="00C37D8C" w:rsidP="00BE4D7A">
      <w:pPr>
        <w:pStyle w:val="ListParagraph"/>
        <w:numPr>
          <w:ilvl w:val="2"/>
          <w:numId w:val="1"/>
        </w:numPr>
      </w:pPr>
      <w:r>
        <w:t>11/18 agency transition announcement (dismantling the Department of Ed)</w:t>
      </w:r>
    </w:p>
    <w:p w14:paraId="394106B8" w14:textId="12823AA2" w:rsidR="00EC3201" w:rsidRDefault="00EC3201" w:rsidP="00EC3201">
      <w:pPr>
        <w:pStyle w:val="ListParagraph"/>
        <w:numPr>
          <w:ilvl w:val="3"/>
          <w:numId w:val="1"/>
        </w:numPr>
      </w:pPr>
      <w:r>
        <w:t xml:space="preserve">On November 18th, The White House and Department of Education </w:t>
      </w:r>
      <w:hyperlink r:id="rId15" w:history="1">
        <w:r w:rsidRPr="00687ABB">
          <w:rPr>
            <w:rStyle w:val="Hyperlink"/>
          </w:rPr>
          <w:t>announced six new agency partnerships</w:t>
        </w:r>
      </w:hyperlink>
      <w:r>
        <w:t xml:space="preserve"> which they say will improve federal bureaucracy. </w:t>
      </w:r>
    </w:p>
    <w:p w14:paraId="0EABA04E" w14:textId="70E66C94" w:rsidR="00EC3201" w:rsidRDefault="00EC3201" w:rsidP="00EC3201">
      <w:pPr>
        <w:pStyle w:val="ListParagraph"/>
        <w:numPr>
          <w:ilvl w:val="3"/>
          <w:numId w:val="1"/>
        </w:numPr>
      </w:pPr>
      <w:r>
        <w:t>It is not yet clear which staff will be transitioned over or if new staff will be hired or whether the Administration will continue to cut staff. These departments will receive the following ED Offices, agencies, and programs:</w:t>
      </w:r>
    </w:p>
    <w:p w14:paraId="6931938B" w14:textId="77777777" w:rsidR="00EC3201" w:rsidRDefault="00EC3201" w:rsidP="00EC3201">
      <w:pPr>
        <w:pStyle w:val="ListParagraph"/>
        <w:numPr>
          <w:ilvl w:val="4"/>
          <w:numId w:val="1"/>
        </w:numPr>
      </w:pPr>
      <w:r>
        <w:t>Department of Labor – Office of Elementary and Secondary Education (OESE)</w:t>
      </w:r>
    </w:p>
    <w:p w14:paraId="2DF63914" w14:textId="77777777" w:rsidR="00EC3201" w:rsidRDefault="00EC3201" w:rsidP="00EC3201">
      <w:pPr>
        <w:pStyle w:val="ListParagraph"/>
        <w:numPr>
          <w:ilvl w:val="4"/>
          <w:numId w:val="1"/>
        </w:numPr>
      </w:pPr>
      <w:r>
        <w:t>Department of Labor – Office of Postsecondary Education (OPE, Postsecondary, institution-based higher ed programs, not student loans and grants)</w:t>
      </w:r>
    </w:p>
    <w:p w14:paraId="59F87839" w14:textId="77777777" w:rsidR="00EC3201" w:rsidRDefault="00EC3201" w:rsidP="00EC3201">
      <w:pPr>
        <w:pStyle w:val="ListParagraph"/>
        <w:numPr>
          <w:ilvl w:val="4"/>
          <w:numId w:val="1"/>
        </w:numPr>
      </w:pPr>
      <w:r>
        <w:t>Department of Interior – Indian Education</w:t>
      </w:r>
    </w:p>
    <w:p w14:paraId="2C29193F" w14:textId="77777777" w:rsidR="00EC3201" w:rsidRDefault="00EC3201" w:rsidP="00EC3201">
      <w:pPr>
        <w:pStyle w:val="ListParagraph"/>
        <w:numPr>
          <w:ilvl w:val="4"/>
          <w:numId w:val="1"/>
        </w:numPr>
      </w:pPr>
      <w:r>
        <w:t>Department of State – International Education and Foreign Language Programs</w:t>
      </w:r>
    </w:p>
    <w:p w14:paraId="3FBA4700" w14:textId="77777777" w:rsidR="00EC3201" w:rsidRDefault="00EC3201" w:rsidP="00EC3201">
      <w:pPr>
        <w:pStyle w:val="ListParagraph"/>
        <w:numPr>
          <w:ilvl w:val="4"/>
          <w:numId w:val="1"/>
        </w:numPr>
      </w:pPr>
      <w:r>
        <w:t>Department of Health and Human Services - Child Care Access Means Parents in Schools (CCAMPIS)</w:t>
      </w:r>
    </w:p>
    <w:p w14:paraId="5ED787FE" w14:textId="2D9E6421" w:rsidR="00EC3201" w:rsidRDefault="00EC3201" w:rsidP="00EC3201">
      <w:pPr>
        <w:pStyle w:val="ListParagraph"/>
        <w:numPr>
          <w:ilvl w:val="4"/>
          <w:numId w:val="1"/>
        </w:numPr>
      </w:pPr>
      <w:r>
        <w:t>Department of Health and Human Services – Foreign Medical Accreditation</w:t>
      </w:r>
    </w:p>
    <w:p w14:paraId="0D890753" w14:textId="6465C4FF" w:rsidR="00EC3201" w:rsidRDefault="00EC3201" w:rsidP="00EC3201">
      <w:pPr>
        <w:pStyle w:val="ListParagraph"/>
        <w:numPr>
          <w:ilvl w:val="3"/>
          <w:numId w:val="1"/>
        </w:numPr>
      </w:pPr>
      <w:r>
        <w:t>NASSP concerns – the internal infrastructure and expertise in education needed at these departments</w:t>
      </w:r>
      <w:r w:rsidR="00D52611">
        <w:t xml:space="preserve"> does not exist</w:t>
      </w:r>
      <w:r>
        <w:t>,</w:t>
      </w:r>
      <w:r w:rsidR="00D52611">
        <w:t xml:space="preserve"> and</w:t>
      </w:r>
      <w:r>
        <w:t xml:space="preserve"> </w:t>
      </w:r>
      <w:r w:rsidR="00D52611">
        <w:t xml:space="preserve">there would likely be burdens and delays for </w:t>
      </w:r>
      <w:r>
        <w:t>state</w:t>
      </w:r>
      <w:r w:rsidR="00D52611">
        <w:t>s</w:t>
      </w:r>
      <w:r>
        <w:t xml:space="preserve"> prepar</w:t>
      </w:r>
      <w:r w:rsidR="00D52611">
        <w:t xml:space="preserve">ing </w:t>
      </w:r>
      <w:r>
        <w:t xml:space="preserve">for any transfer or budget offset due to program funding transitions. </w:t>
      </w:r>
    </w:p>
    <w:p w14:paraId="42FE5875" w14:textId="430F5B64" w:rsidR="00C4348F" w:rsidRPr="00A25D95" w:rsidRDefault="00EC3201" w:rsidP="00461723">
      <w:pPr>
        <w:pStyle w:val="ListParagraph"/>
        <w:numPr>
          <w:ilvl w:val="3"/>
          <w:numId w:val="1"/>
        </w:numPr>
      </w:pPr>
      <w:r>
        <w:t xml:space="preserve">Before Thanksgiving, NASSP sent out a member message with a Federal Impact Survey seeking feedback from school leaders on ED's transitions. This feedback will be used for targeted NASSP advocacy with Senate appropriators who are currently working on a legislative provision to prevent transitions and/or the elimination of the Department. </w:t>
      </w:r>
      <w:r w:rsidR="00461723" w:rsidRPr="00461723">
        <w:rPr>
          <w:b/>
          <w:bCs/>
        </w:rPr>
        <w:t>Please f</w:t>
      </w:r>
      <w:r w:rsidR="00C4348F" w:rsidRPr="00461723">
        <w:rPr>
          <w:b/>
          <w:bCs/>
        </w:rPr>
        <w:t>ill out</w:t>
      </w:r>
      <w:r w:rsidR="00461723" w:rsidRPr="00461723">
        <w:rPr>
          <w:b/>
          <w:bCs/>
        </w:rPr>
        <w:t xml:space="preserve"> this</w:t>
      </w:r>
      <w:r w:rsidR="00C4348F" w:rsidRPr="00461723">
        <w:rPr>
          <w:b/>
          <w:bCs/>
        </w:rPr>
        <w:t xml:space="preserve"> </w:t>
      </w:r>
      <w:hyperlink r:id="rId16" w:history="1">
        <w:r w:rsidR="00C4348F" w:rsidRPr="00461723">
          <w:rPr>
            <w:rStyle w:val="Hyperlink"/>
            <w:b/>
            <w:bCs/>
          </w:rPr>
          <w:t>NASSP survey</w:t>
        </w:r>
      </w:hyperlink>
      <w:r w:rsidR="00033E4B" w:rsidRPr="00461723">
        <w:rPr>
          <w:b/>
          <w:bCs/>
        </w:rPr>
        <w:t xml:space="preserve"> </w:t>
      </w:r>
      <w:r w:rsidR="00461723" w:rsidRPr="00461723">
        <w:rPr>
          <w:b/>
          <w:bCs/>
        </w:rPr>
        <w:t>and share with NASSP members in your states! The survey closes this Friday, December 12.</w:t>
      </w:r>
    </w:p>
    <w:p w14:paraId="066A5382" w14:textId="7AEE4AAE" w:rsidR="00A25D95" w:rsidRDefault="00FF113E" w:rsidP="00461723">
      <w:pPr>
        <w:pStyle w:val="ListParagraph"/>
        <w:numPr>
          <w:ilvl w:val="3"/>
          <w:numId w:val="1"/>
        </w:numPr>
      </w:pPr>
      <w:hyperlink r:id="rId17" w:history="1">
        <w:r w:rsidRPr="0059367D">
          <w:rPr>
            <w:rStyle w:val="Hyperlink"/>
          </w:rPr>
          <w:t xml:space="preserve">In this folder, </w:t>
        </w:r>
        <w:r w:rsidR="008B738C" w:rsidRPr="0059367D">
          <w:rPr>
            <w:rStyle w:val="Hyperlink"/>
          </w:rPr>
          <w:t>you can access the draft (not final) interagency agreements</w:t>
        </w:r>
      </w:hyperlink>
      <w:r w:rsidR="008B738C" w:rsidRPr="008B738C">
        <w:t xml:space="preserve"> signed before the shutdown on September 30 by ED and officials at the four other agencies that will now administer ED programs. The materials are marked as for internal use only, but they have been shared by other non-federal entities</w:t>
      </w:r>
      <w:r w:rsidR="008B738C">
        <w:t xml:space="preserve">. </w:t>
      </w:r>
      <w:r w:rsidR="00403075">
        <w:t>You can see the specific</w:t>
      </w:r>
      <w:r w:rsidR="008B738C" w:rsidRPr="008B738C">
        <w:t xml:space="preserve"> language about which programs are involved, the expected performance of the other agencies, what ED will still do, and that ED will transfer FY 2025 and 2026 funding to cover the activities at the other agencies.</w:t>
      </w:r>
    </w:p>
    <w:p w14:paraId="67B6E620" w14:textId="32680684" w:rsidR="00D51AFB" w:rsidRDefault="00D51AFB" w:rsidP="00D51AFB">
      <w:pPr>
        <w:pStyle w:val="ListParagraph"/>
        <w:numPr>
          <w:ilvl w:val="2"/>
          <w:numId w:val="1"/>
        </w:numPr>
      </w:pPr>
      <w:r>
        <w:t xml:space="preserve">This is just the most recent action the administration has taken to </w:t>
      </w:r>
      <w:r w:rsidR="00546A7D">
        <w:t>eliminate staff at ED, move funding away from certain programs, and reduce federal support to schools. Here are some of the additional actions they’ve taken this year for reference: that we’ve covered in past meetings:</w:t>
      </w:r>
    </w:p>
    <w:p w14:paraId="3DC95BC9" w14:textId="72046E77" w:rsidR="005B44B0" w:rsidRDefault="005B44B0" w:rsidP="005B44B0">
      <w:pPr>
        <w:pStyle w:val="ListParagraph"/>
        <w:numPr>
          <w:ilvl w:val="3"/>
          <w:numId w:val="1"/>
        </w:numPr>
      </w:pPr>
      <w:r>
        <w:t>The Administration has been shifting funding without Congressional authority and began working outside of the Congressional appropriations process</w:t>
      </w:r>
      <w:r w:rsidR="00FA3016">
        <w:t>.</w:t>
      </w:r>
      <w:r>
        <w:t xml:space="preserve"> </w:t>
      </w:r>
    </w:p>
    <w:p w14:paraId="6CFADC68" w14:textId="7FA5A222" w:rsidR="005B44B0" w:rsidRDefault="00FA3016" w:rsidP="00FA3016">
      <w:pPr>
        <w:pStyle w:val="ListParagraph"/>
        <w:numPr>
          <w:ilvl w:val="4"/>
          <w:numId w:val="1"/>
        </w:numPr>
      </w:pPr>
      <w:r>
        <w:t>They’ve been justifying this with a</w:t>
      </w:r>
      <w:r w:rsidR="005B44B0">
        <w:t xml:space="preserve"> legal loophole because Continuing Resolutions</w:t>
      </w:r>
      <w:r>
        <w:t xml:space="preserve">, the mechanism used for FY2025 funding </w:t>
      </w:r>
      <w:r w:rsidR="00B762A1">
        <w:t xml:space="preserve">passed by Congress, </w:t>
      </w:r>
      <w:r w:rsidR="005B44B0">
        <w:t xml:space="preserve">do not include clarifying expenditure language. </w:t>
      </w:r>
    </w:p>
    <w:p w14:paraId="4DD337C5" w14:textId="4A75982D" w:rsidR="00AB1D96" w:rsidRDefault="00AB1D96" w:rsidP="00AB1D96">
      <w:pPr>
        <w:pStyle w:val="ListParagraph"/>
        <w:numPr>
          <w:ilvl w:val="4"/>
          <w:numId w:val="1"/>
        </w:numPr>
      </w:pPr>
      <w:r>
        <w:t xml:space="preserve">Some of the funding they have been shifting around includes anything they perceive as related to </w:t>
      </w:r>
      <w:r w:rsidRPr="00AB1D96">
        <w:t>DEI</w:t>
      </w:r>
      <w:r>
        <w:t>.</w:t>
      </w:r>
    </w:p>
    <w:p w14:paraId="7DB1A1CD" w14:textId="45B98EB5" w:rsidR="00AC311F" w:rsidRDefault="00AC311F" w:rsidP="00AA7F74">
      <w:pPr>
        <w:pStyle w:val="ListParagraph"/>
        <w:numPr>
          <w:ilvl w:val="3"/>
          <w:numId w:val="1"/>
        </w:numPr>
      </w:pPr>
      <w:r>
        <w:t xml:space="preserve">Earlier this fall, the Department of Education informed more recipients of competitive grants and other programs that their funding will not be continued. </w:t>
      </w:r>
    </w:p>
    <w:p w14:paraId="22993F91" w14:textId="1A6123E1" w:rsidR="00AC311F" w:rsidRDefault="00AC311F" w:rsidP="00AA7F74">
      <w:pPr>
        <w:pStyle w:val="ListParagraph"/>
        <w:numPr>
          <w:ilvl w:val="4"/>
          <w:numId w:val="1"/>
        </w:numPr>
      </w:pPr>
      <w:r>
        <w:t xml:space="preserve">Some recipients were given only 7 days to appeal, and we’ve heard that many have not been successful in having their funding continued. </w:t>
      </w:r>
    </w:p>
    <w:p w14:paraId="6A149C75" w14:textId="62E8ABB6" w:rsidR="00FE3C7F" w:rsidRDefault="00FE3C7F" w:rsidP="00AA7F74">
      <w:pPr>
        <w:pStyle w:val="ListParagraph"/>
        <w:numPr>
          <w:ilvl w:val="4"/>
          <w:numId w:val="1"/>
        </w:numPr>
      </w:pPr>
      <w:r>
        <w:t>Programs/grantees affected include:</w:t>
      </w:r>
    </w:p>
    <w:p w14:paraId="731F55E4" w14:textId="77777777" w:rsidR="008F6DBD" w:rsidRDefault="008F6DBD" w:rsidP="00AA7F74">
      <w:pPr>
        <w:pStyle w:val="ListParagraph"/>
        <w:numPr>
          <w:ilvl w:val="5"/>
          <w:numId w:val="1"/>
        </w:numPr>
      </w:pPr>
      <w:r>
        <w:t>Hawkins Centers of Excellence (a $15 million teacher preparation program)</w:t>
      </w:r>
    </w:p>
    <w:p w14:paraId="142EF8ED" w14:textId="77777777" w:rsidR="008F6DBD" w:rsidRDefault="008F6DBD" w:rsidP="00AA7F74">
      <w:pPr>
        <w:pStyle w:val="ListParagraph"/>
        <w:numPr>
          <w:ilvl w:val="5"/>
          <w:numId w:val="1"/>
        </w:numPr>
      </w:pPr>
      <w:r>
        <w:t>Arts in Education (a $37 million program), with the FY 2025 funding directed instead to Charter Schools programs</w:t>
      </w:r>
    </w:p>
    <w:p w14:paraId="75232272" w14:textId="0E232815" w:rsidR="00FE3C7F" w:rsidRDefault="008F6DBD" w:rsidP="00AA7F74">
      <w:pPr>
        <w:pStyle w:val="ListParagraph"/>
        <w:numPr>
          <w:ilvl w:val="5"/>
          <w:numId w:val="1"/>
        </w:numPr>
      </w:pPr>
      <w:r>
        <w:t>GEAR-UP (a $388 million program)</w:t>
      </w:r>
    </w:p>
    <w:p w14:paraId="6992E5DE" w14:textId="77777777" w:rsidR="00435F3A" w:rsidRDefault="00435F3A" w:rsidP="00AA7F74">
      <w:pPr>
        <w:pStyle w:val="ListParagraph"/>
        <w:numPr>
          <w:ilvl w:val="6"/>
          <w:numId w:val="1"/>
        </w:numPr>
      </w:pPr>
      <w:r>
        <w:t xml:space="preserve">GEAR UP (Gaining Early Awareness and Readiness for Undergraduate Programs) is a federal initiative that provides resources to help low-income students prepare for postsecondary education. It offers a variety of services such as tutoring, mentoring, and college visits, and also provides scholarships for eligible students. The program works to increase college readiness by fostering a "college-going culture" in schools and supporting students from middle school through high school. </w:t>
      </w:r>
    </w:p>
    <w:p w14:paraId="4389563B" w14:textId="77777777" w:rsidR="00435F3A" w:rsidRDefault="00435F3A" w:rsidP="00AA7F74">
      <w:pPr>
        <w:pStyle w:val="ListParagraph"/>
        <w:numPr>
          <w:ilvl w:val="6"/>
          <w:numId w:val="1"/>
        </w:numPr>
      </w:pPr>
      <w:r>
        <w:t xml:space="preserve">Nine grantees received discontinuation notices, representing $29.8 million in funding — with most grantees at the front end of their 7-year grants where they were expecting more than $138 million over the remaining years. </w:t>
      </w:r>
    </w:p>
    <w:p w14:paraId="06BDF472" w14:textId="77777777" w:rsidR="00435F3A" w:rsidRDefault="00435F3A" w:rsidP="00AA7F74">
      <w:pPr>
        <w:pStyle w:val="ListParagraph"/>
        <w:numPr>
          <w:ilvl w:val="6"/>
          <w:numId w:val="1"/>
        </w:numPr>
      </w:pPr>
      <w:r>
        <w:t>This means over 57,000 GEAR UP students and families across 220 secondary schools will have their services revoked.</w:t>
      </w:r>
    </w:p>
    <w:p w14:paraId="14383627" w14:textId="1D009EF5" w:rsidR="008B2292" w:rsidRDefault="008B2292" w:rsidP="008B2292">
      <w:pPr>
        <w:pStyle w:val="ListParagraph"/>
        <w:numPr>
          <w:ilvl w:val="3"/>
          <w:numId w:val="1"/>
        </w:numPr>
      </w:pPr>
      <w:r>
        <w:t>Department of ED is rerouting hundreds of millions in FY 2025 funding among many other programs, as well – It’s using money that Congress appropriated for specific programs for entirely different programs that the Administration says meet its priorities better</w:t>
      </w:r>
      <w:r w:rsidR="00B96108">
        <w:t xml:space="preserve">. </w:t>
      </w:r>
      <w:r>
        <w:t xml:space="preserve">Some </w:t>
      </w:r>
      <w:r w:rsidR="00B96108">
        <w:t>other</w:t>
      </w:r>
      <w:r>
        <w:t xml:space="preserve"> programs affected:</w:t>
      </w:r>
    </w:p>
    <w:p w14:paraId="4B82400C" w14:textId="77777777" w:rsidR="008B2292" w:rsidRDefault="008B2292" w:rsidP="00B96108">
      <w:pPr>
        <w:pStyle w:val="ListParagraph"/>
        <w:numPr>
          <w:ilvl w:val="4"/>
          <w:numId w:val="1"/>
        </w:numPr>
      </w:pPr>
      <w:r>
        <w:lastRenderedPageBreak/>
        <w:t xml:space="preserve">Historically Black Colleges and Universities (HBCUs) and Tribally Controlled Colleges and Universities (TCCUs) – ED is moving $495 million into these programs for these two types of institutions. </w:t>
      </w:r>
    </w:p>
    <w:p w14:paraId="5EDFE9F1" w14:textId="77777777" w:rsidR="008B2292" w:rsidRDefault="008B2292" w:rsidP="00B96108">
      <w:pPr>
        <w:pStyle w:val="ListParagraph"/>
        <w:numPr>
          <w:ilvl w:val="4"/>
          <w:numId w:val="1"/>
        </w:numPr>
      </w:pPr>
      <w:r>
        <w:t xml:space="preserve">Of that total, $349 million comes from defunding other Title III and Title V programs, which ED said “discriminate by conferring government benefits exclusively to institutions that meet racial or ethnic quotas” </w:t>
      </w:r>
    </w:p>
    <w:p w14:paraId="4F1EBDBB" w14:textId="77777777" w:rsidR="008B2292" w:rsidRDefault="008B2292" w:rsidP="00B96108">
      <w:pPr>
        <w:pStyle w:val="ListParagraph"/>
        <w:numPr>
          <w:ilvl w:val="4"/>
          <w:numId w:val="1"/>
        </w:numPr>
      </w:pPr>
      <w:r>
        <w:t>Programs cut include:</w:t>
      </w:r>
    </w:p>
    <w:p w14:paraId="6961A073" w14:textId="77777777" w:rsidR="008B2292" w:rsidRDefault="008B2292" w:rsidP="00B96108">
      <w:pPr>
        <w:pStyle w:val="ListParagraph"/>
        <w:numPr>
          <w:ilvl w:val="5"/>
          <w:numId w:val="1"/>
        </w:numPr>
      </w:pPr>
      <w:r>
        <w:t xml:space="preserve">Strengthening Alaska Native and Native Hawaiian-Serving Institutions (Title III Part A) ($25 million); </w:t>
      </w:r>
    </w:p>
    <w:p w14:paraId="61553CBC" w14:textId="77777777" w:rsidR="008B2292" w:rsidRDefault="008B2292" w:rsidP="00B96108">
      <w:pPr>
        <w:pStyle w:val="ListParagraph"/>
        <w:numPr>
          <w:ilvl w:val="5"/>
          <w:numId w:val="1"/>
        </w:numPr>
      </w:pPr>
      <w:r>
        <w:t xml:space="preserve">Strengthening Predominantly Black Institutions (Title III Part A) ($22 million);  </w:t>
      </w:r>
    </w:p>
    <w:p w14:paraId="1E07D3C9" w14:textId="77777777" w:rsidR="008B2292" w:rsidRDefault="008B2292" w:rsidP="00B96108">
      <w:pPr>
        <w:pStyle w:val="ListParagraph"/>
        <w:numPr>
          <w:ilvl w:val="5"/>
          <w:numId w:val="1"/>
        </w:numPr>
      </w:pPr>
      <w:r>
        <w:t xml:space="preserve">Strengthening Asian American- and Native American Pacific Islander-Serving Institutions (Title III Part A) ($19 million);  </w:t>
      </w:r>
    </w:p>
    <w:p w14:paraId="2D54978B" w14:textId="77777777" w:rsidR="008B2292" w:rsidRDefault="008B2292" w:rsidP="00B96108">
      <w:pPr>
        <w:pStyle w:val="ListParagraph"/>
        <w:numPr>
          <w:ilvl w:val="5"/>
          <w:numId w:val="1"/>
        </w:numPr>
      </w:pPr>
      <w:r>
        <w:t xml:space="preserve">Strengthening Native American-Serving Nontribal Institutions (Title III Part A) ($11 million);  </w:t>
      </w:r>
    </w:p>
    <w:p w14:paraId="21467AF3" w14:textId="77777777" w:rsidR="008B2292" w:rsidRDefault="008B2292" w:rsidP="00B96108">
      <w:pPr>
        <w:pStyle w:val="ListParagraph"/>
        <w:numPr>
          <w:ilvl w:val="5"/>
          <w:numId w:val="1"/>
        </w:numPr>
      </w:pPr>
      <w:r>
        <w:t xml:space="preserve">Minority Science and Engineering Improvement (Title III Part E) ($16 million);  </w:t>
      </w:r>
    </w:p>
    <w:p w14:paraId="27E792BF" w14:textId="77777777" w:rsidR="008B2292" w:rsidRDefault="008B2292" w:rsidP="00B96108">
      <w:pPr>
        <w:pStyle w:val="ListParagraph"/>
        <w:numPr>
          <w:ilvl w:val="5"/>
          <w:numId w:val="1"/>
        </w:numPr>
      </w:pPr>
      <w:r>
        <w:t xml:space="preserve">Developing Hispanic-Serving Institutions (Title V Part A) ($229 million); </w:t>
      </w:r>
    </w:p>
    <w:p w14:paraId="79F57463" w14:textId="77777777" w:rsidR="008B2292" w:rsidRDefault="008B2292" w:rsidP="00B96108">
      <w:pPr>
        <w:pStyle w:val="ListParagraph"/>
        <w:numPr>
          <w:ilvl w:val="5"/>
          <w:numId w:val="1"/>
        </w:numPr>
      </w:pPr>
      <w:r>
        <w:t xml:space="preserve">Promoting Postbaccalaureate Opportunities for Hispanic Americans (Title V Part B) ($27 million).  </w:t>
      </w:r>
    </w:p>
    <w:p w14:paraId="7EBF2FA8" w14:textId="77777777" w:rsidR="004218A8" w:rsidRPr="004218A8" w:rsidRDefault="004218A8" w:rsidP="004218A8">
      <w:pPr>
        <w:pStyle w:val="ListParagraph"/>
        <w:numPr>
          <w:ilvl w:val="3"/>
          <w:numId w:val="1"/>
        </w:numPr>
      </w:pPr>
      <w:r w:rsidRPr="004218A8">
        <w:t xml:space="preserve">On Charter schools - ED is moving an extra $60 million into Charter Schools, bringing its FY 2025 total to $500 million – the same amount the President requested for FY 2026 and that is provided in the FY 2026 House Appropriations Committee bill. The Senate Appropriations Committee bill kept funding frozen at $440 million.  </w:t>
      </w:r>
    </w:p>
    <w:p w14:paraId="7235913E" w14:textId="77777777" w:rsidR="001031E3" w:rsidRDefault="001031E3" w:rsidP="001031E3">
      <w:pPr>
        <w:pStyle w:val="ListParagraph"/>
        <w:numPr>
          <w:ilvl w:val="4"/>
          <w:numId w:val="1"/>
        </w:numPr>
      </w:pPr>
      <w:r>
        <w:t xml:space="preserve">Magnet schools, Gifted and Talented Education, Ready to Learn are the source of funding – The Washington Post reported that ED transferred $60 million to Charter Schools from Magnet Schools (its total funding was $139 million for the FY 2025 continuing resolution), Ready to Learn Programming (was $31 million), and Javits gifted and talented education (was $17 million). </w:t>
      </w:r>
    </w:p>
    <w:p w14:paraId="0C11F5A2" w14:textId="77777777" w:rsidR="001031E3" w:rsidRDefault="001031E3" w:rsidP="001031E3">
      <w:pPr>
        <w:pStyle w:val="ListParagraph"/>
        <w:numPr>
          <w:ilvl w:val="4"/>
          <w:numId w:val="1"/>
        </w:numPr>
      </w:pPr>
      <w:r>
        <w:t xml:space="preserve">All these programs are in the same Innovation and Improvement Account; the underlying FY 2024 appropriations bill that the 2025 CR extended provides a total for that account but not for any of these specific programs. </w:t>
      </w:r>
    </w:p>
    <w:p w14:paraId="2808EFF1" w14:textId="77777777" w:rsidR="001031E3" w:rsidRDefault="001031E3" w:rsidP="001031E3">
      <w:pPr>
        <w:pStyle w:val="ListParagraph"/>
        <w:numPr>
          <w:ilvl w:val="4"/>
          <w:numId w:val="1"/>
        </w:numPr>
      </w:pPr>
      <w:r>
        <w:t xml:space="preserve">This lack of specificity in the 2025 CR – which doesn’t include a statement of managers – a table showing exact amounts for each program and language expressing Congress’s intent – is what Democrats worried would allow the Administration more flexibility to move money around within accounts, as it appears ED is doing here.  </w:t>
      </w:r>
    </w:p>
    <w:p w14:paraId="66FD7954" w14:textId="77777777" w:rsidR="00FC29AE" w:rsidRPr="00FC29AE" w:rsidRDefault="00FC29AE" w:rsidP="00FC29AE">
      <w:pPr>
        <w:pStyle w:val="ListParagraph"/>
        <w:numPr>
          <w:ilvl w:val="3"/>
          <w:numId w:val="1"/>
        </w:numPr>
      </w:pPr>
      <w:r w:rsidRPr="00FC29AE">
        <w:t xml:space="preserve">American history and civics education – The American history and civics academies and national activities received $23 million in FY 2024 (and should have received that in the FY 2025 CR). </w:t>
      </w:r>
    </w:p>
    <w:p w14:paraId="1752DFB7" w14:textId="77777777" w:rsidR="00F25C8F" w:rsidRDefault="00F25C8F" w:rsidP="00F25C8F">
      <w:pPr>
        <w:pStyle w:val="ListParagraph"/>
        <w:numPr>
          <w:ilvl w:val="4"/>
          <w:numId w:val="1"/>
        </w:numPr>
      </w:pPr>
      <w:r>
        <w:t xml:space="preserve">Instead, ED is increasing this funding to “over $160 million” – an almost 700% increase. </w:t>
      </w:r>
    </w:p>
    <w:p w14:paraId="615D2A39" w14:textId="77777777" w:rsidR="00F25C8F" w:rsidRDefault="00F25C8F" w:rsidP="00F25C8F">
      <w:pPr>
        <w:pStyle w:val="ListParagraph"/>
        <w:numPr>
          <w:ilvl w:val="4"/>
          <w:numId w:val="1"/>
        </w:numPr>
      </w:pPr>
      <w:r>
        <w:t xml:space="preserve">Teacher preparation programs – Approximately $140 million being transferred to civics education is reportedly coming from money appropriated for two teacher preparation programs in the same account. </w:t>
      </w:r>
    </w:p>
    <w:p w14:paraId="4E29B621" w14:textId="77777777" w:rsidR="00F25C8F" w:rsidRDefault="00F25C8F" w:rsidP="00F25C8F">
      <w:pPr>
        <w:pStyle w:val="ListParagraph"/>
        <w:numPr>
          <w:ilvl w:val="4"/>
          <w:numId w:val="1"/>
        </w:numPr>
      </w:pPr>
      <w:r>
        <w:lastRenderedPageBreak/>
        <w:t xml:space="preserve">The Administration announced earlier this year that it was ending funding for the teacher and school leader incentive grants ($60 million) and supporting effective educator development grants (funded at $90 million). </w:t>
      </w:r>
    </w:p>
    <w:p w14:paraId="42E8765E" w14:textId="5696242D" w:rsidR="00AA7F74" w:rsidRDefault="00F25C8F" w:rsidP="00F25C8F">
      <w:pPr>
        <w:pStyle w:val="ListParagraph"/>
        <w:numPr>
          <w:ilvl w:val="4"/>
          <w:numId w:val="1"/>
        </w:numPr>
      </w:pPr>
      <w:r>
        <w:t xml:space="preserve">Both these programs are eliminated in the President’s FY 2026 budget and the House Appropriations Committee bill, but both are funded in the Senate Appropriations Committee bill. </w:t>
      </w:r>
    </w:p>
    <w:p w14:paraId="08FB8DFF" w14:textId="64AC593D" w:rsidR="00AE4FE9" w:rsidRDefault="00AE4FE9" w:rsidP="00AA7F74">
      <w:pPr>
        <w:pStyle w:val="ListParagraph"/>
        <w:numPr>
          <w:ilvl w:val="3"/>
          <w:numId w:val="1"/>
        </w:numPr>
      </w:pPr>
      <w:r>
        <w:t>There are many lawsuits filed to combat the administration’s potentially unlawful actions to cancel these type of grant programs that have been authorized by Congress.</w:t>
      </w:r>
    </w:p>
    <w:p w14:paraId="069EBA3A" w14:textId="6FBC937B" w:rsidR="00AC311F" w:rsidRPr="00AB1D96" w:rsidRDefault="00AE4FE9" w:rsidP="005374D8">
      <w:pPr>
        <w:pStyle w:val="ListParagraph"/>
        <w:numPr>
          <w:ilvl w:val="4"/>
          <w:numId w:val="1"/>
        </w:numPr>
      </w:pPr>
      <w:r>
        <w:t xml:space="preserve">One example of this: On November 21, a federal judge blocked the Administration’s </w:t>
      </w:r>
      <w:hyperlink r:id="rId18" w:history="1">
        <w:r w:rsidRPr="001C2189">
          <w:rPr>
            <w:rStyle w:val="Hyperlink"/>
          </w:rPr>
          <w:t>March 14 Executive Order</w:t>
        </w:r>
      </w:hyperlink>
      <w:r>
        <w:t xml:space="preserve"> to eliminate the Institute of Museum and Library Services (IMLS). The Administration had begun terminating IMLS grants and planned to fire all staff – all actions that the judge determined were arbitrary and contrary to statutes setting up IMLS. This case was brought by 21 state Attorneys General, and there are other suits pending.</w:t>
      </w:r>
    </w:p>
    <w:p w14:paraId="2CC4EFE0" w14:textId="77777777" w:rsidR="0095178C" w:rsidRDefault="0095178C" w:rsidP="002B2025">
      <w:pPr>
        <w:pStyle w:val="ListParagraph"/>
        <w:numPr>
          <w:ilvl w:val="2"/>
          <w:numId w:val="1"/>
        </w:numPr>
      </w:pPr>
      <w:r>
        <w:t xml:space="preserve">In October, the WH Office of Management and Budget (OMB) sent a memo to agencies to prepare for mass firings a “Reduction in Force” in the pending government shutdown. </w:t>
      </w:r>
    </w:p>
    <w:p w14:paraId="13F57FE2" w14:textId="0E9D9F12" w:rsidR="00AB1D96" w:rsidRDefault="0095178C" w:rsidP="002B2025">
      <w:pPr>
        <w:pStyle w:val="ListParagraph"/>
        <w:numPr>
          <w:ilvl w:val="3"/>
          <w:numId w:val="1"/>
        </w:numPr>
      </w:pPr>
      <w:r>
        <w:t>After initial layoffs were implemented during the shutdown, those positions have been restored thanks to language inserted by Congress in the continuing resolution they passed that ended the shutdown. The administration now has to wait until January 30 when the CR expires to try to fire that staff at ED and other agencies again (remains to be seen what Congress will do to possibly prevent this when they pass full FY2026 appropriations).</w:t>
      </w:r>
    </w:p>
    <w:p w14:paraId="656051F5" w14:textId="742E8C64" w:rsidR="00FA0331" w:rsidRPr="00FA0331" w:rsidRDefault="00FA0331" w:rsidP="00FA0331">
      <w:pPr>
        <w:pStyle w:val="ListParagraph"/>
        <w:numPr>
          <w:ilvl w:val="2"/>
          <w:numId w:val="1"/>
        </w:numPr>
      </w:pPr>
      <w:r>
        <w:t>NASSP also continues to monitor implementation of the new federal private school tax credit voucher program that was passed</w:t>
      </w:r>
      <w:r w:rsidRPr="00FA0331">
        <w:t xml:space="preserve"> </w:t>
      </w:r>
      <w:r>
        <w:t>in the</w:t>
      </w:r>
      <w:r w:rsidRPr="00FA0331">
        <w:t xml:space="preserve"> “big beautiful bill”</w:t>
      </w:r>
      <w:r>
        <w:t xml:space="preserve">. It </w:t>
      </w:r>
      <w:r w:rsidRPr="00FA0331">
        <w:t>establish</w:t>
      </w:r>
      <w:r>
        <w:t>es</w:t>
      </w:r>
      <w:r w:rsidRPr="00FA0331">
        <w:t xml:space="preserve"> a state opt-in program effective January 1, 2027.</w:t>
      </w:r>
    </w:p>
    <w:p w14:paraId="625CEAA5" w14:textId="60C4DEA5" w:rsidR="009F3219" w:rsidRDefault="009F3219" w:rsidP="009F3219">
      <w:pPr>
        <w:pStyle w:val="ListParagraph"/>
        <w:numPr>
          <w:ilvl w:val="3"/>
          <w:numId w:val="1"/>
        </w:numPr>
      </w:pPr>
      <w:r>
        <w:t>$5 billion cap on the whole program.</w:t>
      </w:r>
    </w:p>
    <w:p w14:paraId="21A2B8ED" w14:textId="77777777" w:rsidR="009F3219" w:rsidRDefault="009F3219" w:rsidP="009F3219">
      <w:pPr>
        <w:pStyle w:val="ListParagraph"/>
        <w:numPr>
          <w:ilvl w:val="3"/>
          <w:numId w:val="1"/>
        </w:numPr>
      </w:pPr>
      <w:r>
        <w:t>Limit of $1,700 tax credit dollar-for-dollar to a qualified 501c3/SGO who can offer school choice scholarships.</w:t>
      </w:r>
    </w:p>
    <w:p w14:paraId="7A9D0EAC" w14:textId="48A0C96F" w:rsidR="009F3219" w:rsidRDefault="009F3219" w:rsidP="009F3219">
      <w:pPr>
        <w:pStyle w:val="ListParagraph"/>
        <w:numPr>
          <w:ilvl w:val="3"/>
          <w:numId w:val="1"/>
        </w:numPr>
      </w:pPr>
      <w:r>
        <w:t>Regulations will be provided by the Treasury Department</w:t>
      </w:r>
      <w:r w:rsidR="00676084">
        <w:t xml:space="preserve"> – they are currently accepting public comment.</w:t>
      </w:r>
    </w:p>
    <w:p w14:paraId="7648CDA0" w14:textId="77777777" w:rsidR="009F3219" w:rsidRDefault="009F3219" w:rsidP="009F3219">
      <w:pPr>
        <w:pStyle w:val="ListParagraph"/>
        <w:numPr>
          <w:ilvl w:val="3"/>
          <w:numId w:val="1"/>
        </w:numPr>
      </w:pPr>
      <w:r>
        <w:t xml:space="preserve">Implications of the state and federal voucher programs are yet to be seen. </w:t>
      </w:r>
    </w:p>
    <w:p w14:paraId="620557C0" w14:textId="6999CD8D" w:rsidR="009F3219" w:rsidRDefault="009F3219" w:rsidP="009F3219">
      <w:pPr>
        <w:pStyle w:val="ListParagraph"/>
        <w:numPr>
          <w:ilvl w:val="3"/>
          <w:numId w:val="1"/>
        </w:numPr>
      </w:pPr>
      <w:r>
        <w:t xml:space="preserve">NASSP focus: </w:t>
      </w:r>
      <w:r w:rsidR="00B31079">
        <w:t>f</w:t>
      </w:r>
      <w:r>
        <w:t xml:space="preserve">or school vouchers, it is important to ensure accountability, equitable access to all, elimination of discrimination of students in this process, appropriate protection for students with disabilities. </w:t>
      </w:r>
    </w:p>
    <w:p w14:paraId="3283C967" w14:textId="1AE8F21C" w:rsidR="002B2025" w:rsidRDefault="009F3219" w:rsidP="00B31079">
      <w:pPr>
        <w:pStyle w:val="ListParagraph"/>
        <w:numPr>
          <w:ilvl w:val="3"/>
          <w:numId w:val="1"/>
        </w:numPr>
      </w:pPr>
      <w:r>
        <w:t xml:space="preserve">NASSP will continue to provide professional development and resources for all school leaders no matter the system provided for students.  </w:t>
      </w:r>
    </w:p>
    <w:p w14:paraId="55EE7F6C" w14:textId="1452CD67" w:rsidR="00210658" w:rsidRDefault="00210658" w:rsidP="00B31079">
      <w:pPr>
        <w:pStyle w:val="ListParagraph"/>
        <w:numPr>
          <w:ilvl w:val="3"/>
          <w:numId w:val="1"/>
        </w:numPr>
      </w:pPr>
      <w:r>
        <w:t xml:space="preserve">Cindy Gallagher (NY) flagged that state associations could use more nuanced talking points for advocating that their states DO NOT opt into the new federal program. It is </w:t>
      </w:r>
      <w:r w:rsidR="00132C2C">
        <w:t>may be challenging for states to not take federal money for this program.</w:t>
      </w:r>
    </w:p>
    <w:p w14:paraId="0940F203" w14:textId="6BEBE6E4" w:rsidR="00D25A05" w:rsidRDefault="00D25A05" w:rsidP="00D25A05">
      <w:pPr>
        <w:pStyle w:val="ListParagraph"/>
        <w:numPr>
          <w:ilvl w:val="4"/>
          <w:numId w:val="1"/>
        </w:numPr>
      </w:pPr>
      <w:r>
        <w:t xml:space="preserve">Bob Kefgen (MI) flagged that some of </w:t>
      </w:r>
      <w:hyperlink r:id="rId19" w:history="1">
        <w:r w:rsidRPr="00771CCD">
          <w:rPr>
            <w:rStyle w:val="Hyperlink"/>
          </w:rPr>
          <w:t>Dr. Josh Cowan’s work</w:t>
        </w:r>
      </w:hyperlink>
      <w:r>
        <w:t xml:space="preserve"> </w:t>
      </w:r>
      <w:r w:rsidR="00771CCD">
        <w:t>could be useful in crafting arguments against further participation in any private school voucher programs.</w:t>
      </w:r>
    </w:p>
    <w:p w14:paraId="06A5FC01" w14:textId="183F6B0C" w:rsidR="00676084" w:rsidRDefault="00676084" w:rsidP="00D25A05">
      <w:pPr>
        <w:pStyle w:val="ListParagraph"/>
        <w:numPr>
          <w:ilvl w:val="4"/>
          <w:numId w:val="1"/>
        </w:numPr>
      </w:pPr>
      <w:r>
        <w:t xml:space="preserve">Please see this </w:t>
      </w:r>
      <w:hyperlink r:id="rId20" w:history="1">
        <w:r w:rsidRPr="00EE708F">
          <w:rPr>
            <w:rStyle w:val="Hyperlink"/>
          </w:rPr>
          <w:t xml:space="preserve">recent fact sheet from </w:t>
        </w:r>
        <w:r w:rsidR="00EE708F" w:rsidRPr="00EE708F">
          <w:rPr>
            <w:rStyle w:val="Hyperlink"/>
          </w:rPr>
          <w:t>the National Coalition for Public Education (NCPE)</w:t>
        </w:r>
      </w:hyperlink>
      <w:r w:rsidR="00EE708F">
        <w:t>, which NASSP is a member of, for some talking points that can be used.</w:t>
      </w:r>
    </w:p>
    <w:p w14:paraId="1EB32E6E" w14:textId="476CBC80" w:rsidR="00740287" w:rsidRDefault="00740287" w:rsidP="00D25A05">
      <w:pPr>
        <w:pStyle w:val="ListParagraph"/>
        <w:numPr>
          <w:ilvl w:val="4"/>
          <w:numId w:val="1"/>
        </w:numPr>
      </w:pPr>
      <w:r>
        <w:lastRenderedPageBreak/>
        <w:t xml:space="preserve">Also, </w:t>
      </w:r>
      <w:hyperlink r:id="rId21" w:history="1">
        <w:r w:rsidRPr="00EB084E">
          <w:rPr>
            <w:rStyle w:val="Hyperlink"/>
          </w:rPr>
          <w:t>another great report from the National Education Policy Council</w:t>
        </w:r>
      </w:hyperlink>
      <w:r>
        <w:t xml:space="preserve"> </w:t>
      </w:r>
      <w:r w:rsidR="00EB084E">
        <w:t>on the ineffectiveness of vouchers and reasons for states to not opt in to the new federal program.</w:t>
      </w:r>
    </w:p>
    <w:p w14:paraId="7E04918C" w14:textId="7C5687AF" w:rsidR="00FC305B" w:rsidRDefault="00FC305B" w:rsidP="00FC305B">
      <w:pPr>
        <w:pStyle w:val="ListParagraph"/>
        <w:numPr>
          <w:ilvl w:val="4"/>
          <w:numId w:val="1"/>
        </w:numPr>
      </w:pPr>
      <w:r>
        <w:t xml:space="preserve">Roz Thompson (WA) </w:t>
      </w:r>
      <w:hyperlink r:id="rId22" w:history="1">
        <w:r w:rsidRPr="00822DB4">
          <w:rPr>
            <w:rStyle w:val="Hyperlink"/>
          </w:rPr>
          <w:t>shared these two fact sheets</w:t>
        </w:r>
      </w:hyperlink>
      <w:r>
        <w:t xml:space="preserve"> with helpful talking points from the state’s teachers unions.</w:t>
      </w:r>
    </w:p>
    <w:p w14:paraId="726464B7" w14:textId="0CB30BB8" w:rsidR="005B3892" w:rsidRDefault="00342BC8" w:rsidP="00BE4D7A">
      <w:pPr>
        <w:pStyle w:val="ListParagraph"/>
        <w:numPr>
          <w:ilvl w:val="2"/>
          <w:numId w:val="1"/>
        </w:numPr>
      </w:pPr>
      <w:r>
        <w:t>Additional issues raised by SLN members:</w:t>
      </w:r>
    </w:p>
    <w:p w14:paraId="590AC1A0" w14:textId="6B8072D9" w:rsidR="00F72D7A" w:rsidRDefault="00FC305B" w:rsidP="00F72D7A">
      <w:pPr>
        <w:pStyle w:val="ListParagraph"/>
        <w:numPr>
          <w:ilvl w:val="3"/>
          <w:numId w:val="1"/>
        </w:numPr>
      </w:pPr>
      <w:r>
        <w:t>Cindy Gallagher (NY) reminded us that e</w:t>
      </w:r>
      <w:r w:rsidR="00F72D7A">
        <w:t>arlier this year</w:t>
      </w:r>
      <w:r>
        <w:t xml:space="preserve"> </w:t>
      </w:r>
      <w:r w:rsidR="00F72D7A">
        <w:t xml:space="preserve">the Trump administration </w:t>
      </w:r>
      <w:hyperlink r:id="rId23" w:history="1">
        <w:r w:rsidR="00F72D7A" w:rsidRPr="0045135C">
          <w:rPr>
            <w:rStyle w:val="Hyperlink"/>
          </w:rPr>
          <w:t>released an executive order on school discipline</w:t>
        </w:r>
      </w:hyperlink>
      <w:r w:rsidR="0045135C">
        <w:t xml:space="preserve"> calling for ED to create new guidance. We have not yet seen guidance released</w:t>
      </w:r>
      <w:r>
        <w:t xml:space="preserve"> yet</w:t>
      </w:r>
      <w:r w:rsidR="0045135C">
        <w:t>.</w:t>
      </w:r>
    </w:p>
    <w:p w14:paraId="3AE96BA1" w14:textId="7381C9D2" w:rsidR="00A10117" w:rsidRPr="00322DC8" w:rsidRDefault="00322DC8" w:rsidP="00A10117">
      <w:pPr>
        <w:pStyle w:val="ListParagraph"/>
        <w:numPr>
          <w:ilvl w:val="3"/>
          <w:numId w:val="1"/>
        </w:numPr>
      </w:pPr>
      <w:r w:rsidRPr="00322DC8">
        <w:t xml:space="preserve">Diana Vu (CA) flagged that </w:t>
      </w:r>
      <w:r>
        <w:t>DHS has proposed a new rule intended to limit the am</w:t>
      </w:r>
      <w:r w:rsidR="00F60BCA">
        <w:t xml:space="preserve">ount of time immigrant students can stay in the country, and they are currently </w:t>
      </w:r>
      <w:hyperlink r:id="rId24" w:history="1">
        <w:r w:rsidR="00F60BCA" w:rsidRPr="00F60BCA">
          <w:rPr>
            <w:rStyle w:val="Hyperlink"/>
          </w:rPr>
          <w:t>accepting public comment on the proposed rule</w:t>
        </w:r>
      </w:hyperlink>
      <w:r w:rsidR="00F60BCA">
        <w:t>.</w:t>
      </w:r>
    </w:p>
    <w:p w14:paraId="04C3515B" w14:textId="3FFEB530" w:rsidR="00BE19A3" w:rsidRPr="00322DC8" w:rsidRDefault="005B3892" w:rsidP="00BE19A3">
      <w:pPr>
        <w:pStyle w:val="ListParagraph"/>
        <w:ind w:left="2160"/>
      </w:pPr>
      <w:r w:rsidRPr="00322DC8">
        <w:t xml:space="preserve"> </w:t>
      </w:r>
    </w:p>
    <w:p w14:paraId="66D01018" w14:textId="6E829C4D" w:rsidR="00BE19A3" w:rsidRDefault="00BE19A3" w:rsidP="00BE19A3">
      <w:pPr>
        <w:pStyle w:val="ListParagraph"/>
        <w:numPr>
          <w:ilvl w:val="0"/>
          <w:numId w:val="1"/>
        </w:numPr>
      </w:pPr>
      <w:hyperlink r:id="rId25" w:history="1">
        <w:r w:rsidRPr="004309A4">
          <w:rPr>
            <w:rStyle w:val="Hyperlink"/>
          </w:rPr>
          <w:t>NASSP Academy</w:t>
        </w:r>
      </w:hyperlink>
      <w:r>
        <w:t xml:space="preserve"> update</w:t>
      </w:r>
    </w:p>
    <w:p w14:paraId="4D6C4C17" w14:textId="73BC068D" w:rsidR="00E96A4C" w:rsidRDefault="002364B9" w:rsidP="00E96A4C">
      <w:pPr>
        <w:pStyle w:val="ListParagraph"/>
        <w:numPr>
          <w:ilvl w:val="1"/>
          <w:numId w:val="1"/>
        </w:numPr>
      </w:pPr>
      <w:hyperlink r:id="rId26" w:history="1">
        <w:r w:rsidRPr="002364B9">
          <w:rPr>
            <w:rStyle w:val="Hyperlink"/>
          </w:rPr>
          <w:t>Please s</w:t>
        </w:r>
        <w:r w:rsidRPr="002364B9">
          <w:rPr>
            <w:rStyle w:val="Hyperlink"/>
          </w:rPr>
          <w:t>hare this video</w:t>
        </w:r>
      </w:hyperlink>
      <w:r>
        <w:t xml:space="preserve"> and encourage school leaders and aspiring school leaders in your state to consider participating in the program! </w:t>
      </w:r>
    </w:p>
    <w:p w14:paraId="462A53DF" w14:textId="77777777" w:rsidR="00F2047F" w:rsidRDefault="00F2047F" w:rsidP="00AF63E9"/>
    <w:p w14:paraId="798E13AD" w14:textId="76C14DE6" w:rsidR="0005100F" w:rsidRDefault="00BA73D3" w:rsidP="0050160D">
      <w:pPr>
        <w:pStyle w:val="ListParagraph"/>
        <w:numPr>
          <w:ilvl w:val="0"/>
          <w:numId w:val="1"/>
        </w:numPr>
      </w:pPr>
      <w:r>
        <w:t>S</w:t>
      </w:r>
      <w:r w:rsidR="007A2946">
        <w:t>tate update</w:t>
      </w:r>
      <w:r w:rsidR="00550328">
        <w:t>s</w:t>
      </w:r>
      <w:r w:rsidR="0033208C">
        <w:t xml:space="preserve"> </w:t>
      </w:r>
    </w:p>
    <w:p w14:paraId="4909AEEB" w14:textId="4CC67D22" w:rsidR="00667B8D" w:rsidRDefault="002364B9" w:rsidP="00667B8D">
      <w:pPr>
        <w:pStyle w:val="ListParagraph"/>
        <w:numPr>
          <w:ilvl w:val="1"/>
          <w:numId w:val="1"/>
        </w:numPr>
      </w:pPr>
      <w:r>
        <w:t>Jennie Lamon (NJ):</w:t>
      </w:r>
      <w:r w:rsidR="000A5FCA">
        <w:t xml:space="preserve"> lame duck session is happening right now. We had a win with a bill that would ban single use plastic utensils</w:t>
      </w:r>
      <w:r w:rsidR="00741C08">
        <w:t xml:space="preserve">, which would have been a huge burden for schools. We previously secured a </w:t>
      </w:r>
      <w:r w:rsidR="000F0AEE">
        <w:t>5-year</w:t>
      </w:r>
      <w:r w:rsidR="00741C08">
        <w:t xml:space="preserve"> exemption for schools but continued to advocate against it in its entirety. </w:t>
      </w:r>
      <w:r>
        <w:t>The new version of the</w:t>
      </w:r>
      <w:r w:rsidR="009C40CE">
        <w:t xml:space="preserve"> bill </w:t>
      </w:r>
      <w:r>
        <w:t xml:space="preserve">completely </w:t>
      </w:r>
      <w:r w:rsidR="009C40CE">
        <w:t xml:space="preserve">exempts schools, healthcare facilities, and prisons. </w:t>
      </w:r>
      <w:r w:rsidR="00741C08">
        <w:t xml:space="preserve"> </w:t>
      </w:r>
    </w:p>
    <w:p w14:paraId="56B91744" w14:textId="77F7C181" w:rsidR="002529B2" w:rsidRDefault="002529B2" w:rsidP="002529B2">
      <w:pPr>
        <w:pStyle w:val="ListParagraph"/>
        <w:numPr>
          <w:ilvl w:val="1"/>
          <w:numId w:val="1"/>
        </w:numPr>
      </w:pPr>
      <w:r>
        <w:t>Alison</w:t>
      </w:r>
      <w:r w:rsidR="00901371">
        <w:t xml:space="preserve"> Maley</w:t>
      </w:r>
      <w:r>
        <w:t xml:space="preserve"> </w:t>
      </w:r>
      <w:r w:rsidR="00DA1DBB">
        <w:t>(IL)</w:t>
      </w:r>
      <w:r>
        <w:t>:</w:t>
      </w:r>
      <w:r w:rsidR="002364B9">
        <w:t xml:space="preserve"> we are</w:t>
      </w:r>
      <w:r>
        <w:t xml:space="preserve"> heading into spring </w:t>
      </w:r>
      <w:r w:rsidR="002364B9">
        <w:t xml:space="preserve">legislative session beginning </w:t>
      </w:r>
      <w:r>
        <w:t xml:space="preserve">in January. </w:t>
      </w:r>
      <w:r w:rsidR="00CB5867">
        <w:t xml:space="preserve">Thanks to all who shared cell phone restriction policies with me across the </w:t>
      </w:r>
      <w:r w:rsidR="002364B9">
        <w:t xml:space="preserve">SLN email </w:t>
      </w:r>
      <w:r w:rsidR="00CB5867">
        <w:t>list</w:t>
      </w:r>
      <w:r w:rsidR="002364B9">
        <w:t xml:space="preserve"> as our legislature considers policy.</w:t>
      </w:r>
    </w:p>
    <w:p w14:paraId="284CC4B8" w14:textId="12AD0897" w:rsidR="00875B59" w:rsidRDefault="00875B59" w:rsidP="002529B2">
      <w:pPr>
        <w:pStyle w:val="ListParagraph"/>
        <w:numPr>
          <w:ilvl w:val="1"/>
          <w:numId w:val="1"/>
        </w:numPr>
      </w:pPr>
      <w:r>
        <w:t>Diana</w:t>
      </w:r>
      <w:r w:rsidR="00901371">
        <w:t xml:space="preserve"> Vu</w:t>
      </w:r>
      <w:r>
        <w:t xml:space="preserve"> </w:t>
      </w:r>
      <w:r w:rsidR="006C7C32">
        <w:t>(</w:t>
      </w:r>
      <w:r>
        <w:t>CA</w:t>
      </w:r>
      <w:r w:rsidR="006C7C32">
        <w:t>)</w:t>
      </w:r>
      <w:r>
        <w:t xml:space="preserve">: </w:t>
      </w:r>
      <w:r w:rsidR="00B57CB2">
        <w:t xml:space="preserve">legislature is out of session right now. ACSA is preparing for events in 2026. Two bills </w:t>
      </w:r>
      <w:r w:rsidR="006C7C32">
        <w:t>we are working on advocating for next session include</w:t>
      </w:r>
      <w:r w:rsidR="00B57CB2">
        <w:t xml:space="preserve"> </w:t>
      </w:r>
      <w:r w:rsidR="006C7C32">
        <w:t xml:space="preserve">revising </w:t>
      </w:r>
      <w:r w:rsidR="00B57CB2">
        <w:t>reporting requirements for schools/districts</w:t>
      </w:r>
      <w:r w:rsidR="006C7C32">
        <w:t xml:space="preserve"> which are c</w:t>
      </w:r>
      <w:r w:rsidR="00B57CB2">
        <w:t xml:space="preserve">urrently too burdensome. </w:t>
      </w:r>
      <w:r w:rsidR="006C7C32">
        <w:t>The other bill would impact s</w:t>
      </w:r>
      <w:r w:rsidR="00B57CB2">
        <w:t xml:space="preserve">ubstitute teachers </w:t>
      </w:r>
      <w:r w:rsidR="006C7C32">
        <w:t>who are currently</w:t>
      </w:r>
      <w:r w:rsidR="00B57CB2">
        <w:t xml:space="preserve"> restricted to 30 days</w:t>
      </w:r>
      <w:r w:rsidR="006C7C32">
        <w:t xml:space="preserve"> of service,</w:t>
      </w:r>
      <w:r w:rsidR="00B57CB2">
        <w:t xml:space="preserve"> and we’re trying to get that extended to 60 days.</w:t>
      </w:r>
    </w:p>
    <w:p w14:paraId="204BA1BC" w14:textId="67C5D4D7" w:rsidR="002D6B3F" w:rsidRDefault="002D6B3F" w:rsidP="002D6B3F">
      <w:pPr>
        <w:pStyle w:val="ListParagraph"/>
        <w:numPr>
          <w:ilvl w:val="2"/>
          <w:numId w:val="1"/>
        </w:numPr>
      </w:pPr>
      <w:r>
        <w:t>Alison</w:t>
      </w:r>
      <w:r w:rsidR="004D5BA1">
        <w:t xml:space="preserve"> </w:t>
      </w:r>
      <w:r w:rsidR="00901371">
        <w:t xml:space="preserve">Maley </w:t>
      </w:r>
      <w:r w:rsidR="004D5BA1">
        <w:t>(IL)</w:t>
      </w:r>
      <w:r>
        <w:t xml:space="preserve">: </w:t>
      </w:r>
      <w:r w:rsidR="004D5BA1">
        <w:t>w</w:t>
      </w:r>
      <w:r w:rsidRPr="002D6B3F">
        <w:t>e have a Mandate Review Commission starting next month in IL. Will keep you all posted on ideas you can use.</w:t>
      </w:r>
    </w:p>
    <w:p w14:paraId="165D2131" w14:textId="04583E21" w:rsidR="002D6B3F" w:rsidRDefault="00713E07" w:rsidP="002D6B3F">
      <w:pPr>
        <w:pStyle w:val="ListParagraph"/>
        <w:numPr>
          <w:ilvl w:val="1"/>
          <w:numId w:val="1"/>
        </w:numPr>
      </w:pPr>
      <w:r>
        <w:t>Bob</w:t>
      </w:r>
      <w:r w:rsidR="00901371">
        <w:t xml:space="preserve"> Kefgen</w:t>
      </w:r>
      <w:r>
        <w:t xml:space="preserve"> </w:t>
      </w:r>
      <w:r w:rsidR="004D5BA1">
        <w:t>(</w:t>
      </w:r>
      <w:r>
        <w:t>MI</w:t>
      </w:r>
      <w:r w:rsidR="004D5BA1">
        <w:t>)</w:t>
      </w:r>
      <w:r>
        <w:t xml:space="preserve">: </w:t>
      </w:r>
      <w:r w:rsidR="007C6833">
        <w:t xml:space="preserve">fall </w:t>
      </w:r>
      <w:r w:rsidR="004D5BA1">
        <w:t xml:space="preserve">legislative </w:t>
      </w:r>
      <w:r w:rsidR="007C6833">
        <w:t xml:space="preserve">session is continuing. </w:t>
      </w:r>
      <w:r w:rsidR="004D5BA1">
        <w:t>The state budget</w:t>
      </w:r>
      <w:r w:rsidR="007C6833">
        <w:t xml:space="preserve"> got done late, and now they are getting to the policy portion of the session. Just 30 bills </w:t>
      </w:r>
      <w:r w:rsidR="004D5BA1">
        <w:t xml:space="preserve">have been </w:t>
      </w:r>
      <w:r w:rsidR="007C6833">
        <w:t xml:space="preserve">passed so far as compared to 250 last year, so </w:t>
      </w:r>
      <w:r w:rsidR="00DD15D1">
        <w:t>much less</w:t>
      </w:r>
      <w:r w:rsidR="004D5BA1">
        <w:t xml:space="preserve"> activity</w:t>
      </w:r>
      <w:r w:rsidR="00DD15D1">
        <w:t xml:space="preserve"> this time around.</w:t>
      </w:r>
    </w:p>
    <w:p w14:paraId="2DEFBBC6" w14:textId="721DEF57" w:rsidR="00DD15D1" w:rsidRDefault="00DD15D1" w:rsidP="002D6B3F">
      <w:pPr>
        <w:pStyle w:val="ListParagraph"/>
        <w:numPr>
          <w:ilvl w:val="1"/>
          <w:numId w:val="1"/>
        </w:numPr>
      </w:pPr>
      <w:r>
        <w:t>Roz</w:t>
      </w:r>
      <w:r w:rsidR="00901371">
        <w:t xml:space="preserve"> Thompson</w:t>
      </w:r>
      <w:r>
        <w:t xml:space="preserve"> </w:t>
      </w:r>
      <w:r w:rsidR="004D5BA1">
        <w:t>(</w:t>
      </w:r>
      <w:r>
        <w:t>WA</w:t>
      </w:r>
      <w:r w:rsidR="004D5BA1">
        <w:t>)</w:t>
      </w:r>
      <w:r>
        <w:t xml:space="preserve">: we have advocated strongly against unfunded mandates in recent years. </w:t>
      </w:r>
      <w:r w:rsidR="008F774E">
        <w:t xml:space="preserve">We are focused heavily on advocating for the </w:t>
      </w:r>
      <w:r w:rsidR="00901371">
        <w:t xml:space="preserve">annual state education </w:t>
      </w:r>
      <w:r w:rsidR="008F774E">
        <w:t>budget and strong funding</w:t>
      </w:r>
      <w:r w:rsidR="00EE0FDC">
        <w:t xml:space="preserve">, and we are </w:t>
      </w:r>
      <w:r w:rsidR="00901371">
        <w:t xml:space="preserve">advocating </w:t>
      </w:r>
      <w:r w:rsidR="00EE0FDC">
        <w:t xml:space="preserve">against any other policy bills </w:t>
      </w:r>
      <w:r w:rsidR="00901371">
        <w:t xml:space="preserve">being pushed forward </w:t>
      </w:r>
      <w:r w:rsidR="00EE0FDC">
        <w:t>that may be unfunded and will distract from the budget</w:t>
      </w:r>
      <w:r w:rsidR="00901371">
        <w:t xml:space="preserve"> work</w:t>
      </w:r>
      <w:r w:rsidR="00EE0FDC">
        <w:t xml:space="preserve">. We will not push for a cellphone ban bill and plan to advocate to continue to leave this up to local control. </w:t>
      </w:r>
    </w:p>
    <w:p w14:paraId="52E8EEB1" w14:textId="7E271F69" w:rsidR="00984495" w:rsidRDefault="00984495" w:rsidP="002D6B3F">
      <w:pPr>
        <w:pStyle w:val="ListParagraph"/>
        <w:numPr>
          <w:ilvl w:val="1"/>
          <w:numId w:val="1"/>
        </w:numPr>
      </w:pPr>
      <w:r>
        <w:t xml:space="preserve">Barbara </w:t>
      </w:r>
      <w:r w:rsidR="00901371">
        <w:t>Childs (</w:t>
      </w:r>
      <w:r>
        <w:t>DC</w:t>
      </w:r>
      <w:r w:rsidR="00901371">
        <w:t>)</w:t>
      </w:r>
      <w:r>
        <w:t>: Council of School Officers</w:t>
      </w:r>
      <w:r w:rsidR="00040D50">
        <w:t xml:space="preserve"> is working on the negotiation of a new contract for the school administrators</w:t>
      </w:r>
      <w:r w:rsidR="00901371">
        <w:t xml:space="preserve"> in DC.</w:t>
      </w:r>
    </w:p>
    <w:sectPr w:rsidR="00984495" w:rsidSect="009752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E45FE" w14:textId="77777777" w:rsidR="00DD7342" w:rsidRDefault="00DD7342" w:rsidP="00BA73D3">
      <w:r>
        <w:separator/>
      </w:r>
    </w:p>
  </w:endnote>
  <w:endnote w:type="continuationSeparator" w:id="0">
    <w:p w14:paraId="4EAC1198" w14:textId="77777777" w:rsidR="00DD7342" w:rsidRDefault="00DD7342" w:rsidP="00BA73D3">
      <w:r>
        <w:continuationSeparator/>
      </w:r>
    </w:p>
  </w:endnote>
  <w:endnote w:type="continuationNotice" w:id="1">
    <w:p w14:paraId="3EB1BDEB" w14:textId="77777777" w:rsidR="00DD7342" w:rsidRDefault="00DD73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0ACDA" w14:textId="77777777" w:rsidR="00DD7342" w:rsidRDefault="00DD7342" w:rsidP="00BA73D3">
      <w:r>
        <w:separator/>
      </w:r>
    </w:p>
  </w:footnote>
  <w:footnote w:type="continuationSeparator" w:id="0">
    <w:p w14:paraId="460B724A" w14:textId="77777777" w:rsidR="00DD7342" w:rsidRDefault="00DD7342" w:rsidP="00BA73D3">
      <w:r>
        <w:continuationSeparator/>
      </w:r>
    </w:p>
  </w:footnote>
  <w:footnote w:type="continuationNotice" w:id="1">
    <w:p w14:paraId="015654BC" w14:textId="77777777" w:rsidR="00DD7342" w:rsidRDefault="00DD734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40A1A"/>
    <w:multiLevelType w:val="hybridMultilevel"/>
    <w:tmpl w:val="4D7015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C579E8"/>
    <w:multiLevelType w:val="hybridMultilevel"/>
    <w:tmpl w:val="D17AB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5281C40"/>
    <w:multiLevelType w:val="hybridMultilevel"/>
    <w:tmpl w:val="D87EEF5E"/>
    <w:lvl w:ilvl="0" w:tplc="A78AFF7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676902"/>
    <w:multiLevelType w:val="hybridMultilevel"/>
    <w:tmpl w:val="C5AA891C"/>
    <w:lvl w:ilvl="0" w:tplc="8A649F34">
      <w:start w:val="1"/>
      <w:numFmt w:val="upperRoman"/>
      <w:lvlText w:val="%1."/>
      <w:lvlJc w:val="left"/>
      <w:pPr>
        <w:ind w:left="1080" w:hanging="72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BBB5CD8"/>
    <w:multiLevelType w:val="hybridMultilevel"/>
    <w:tmpl w:val="2AC05FF0"/>
    <w:lvl w:ilvl="0" w:tplc="8A649F34">
      <w:start w:val="1"/>
      <w:numFmt w:val="upperRoman"/>
      <w:lvlText w:val="%1."/>
      <w:lvlJc w:val="left"/>
      <w:pPr>
        <w:ind w:left="1080" w:hanging="720"/>
      </w:pPr>
    </w:lvl>
    <w:lvl w:ilvl="1" w:tplc="04090001">
      <w:numFmt w:val="decimal"/>
      <w:lvlText w:val=""/>
      <w:lvlJc w:val="left"/>
      <w:pPr>
        <w:ind w:left="1440" w:hanging="360"/>
      </w:pPr>
      <w:rPr>
        <w:rFonts w:ascii="Symbol" w:hAnsi="Symbol" w:hint="default"/>
      </w:rPr>
    </w:lvl>
    <w:lvl w:ilvl="2" w:tplc="04090003">
      <w:numFmt w:val="decimal"/>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D9C4B6A"/>
    <w:multiLevelType w:val="hybridMultilevel"/>
    <w:tmpl w:val="ECD068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36799130">
    <w:abstractNumId w:val="3"/>
  </w:num>
  <w:num w:numId="2" w16cid:durableId="21326134">
    <w:abstractNumId w:val="0"/>
  </w:num>
  <w:num w:numId="3" w16cid:durableId="1388993023">
    <w:abstractNumId w:val="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643015">
    <w:abstractNumId w:val="2"/>
  </w:num>
  <w:num w:numId="5" w16cid:durableId="1282683704">
    <w:abstractNumId w:val="1"/>
  </w:num>
  <w:num w:numId="6" w16cid:durableId="2142963636">
    <w:abstractNumId w:val="3"/>
  </w:num>
  <w:num w:numId="7" w16cid:durableId="1729187528">
    <w:abstractNumId w:val="5"/>
  </w:num>
  <w:num w:numId="8" w16cid:durableId="1761176574">
    <w:abstractNumId w:val="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CA7"/>
    <w:rsid w:val="00000044"/>
    <w:rsid w:val="00000FF8"/>
    <w:rsid w:val="00002F95"/>
    <w:rsid w:val="00004E8D"/>
    <w:rsid w:val="00006DF2"/>
    <w:rsid w:val="0001555F"/>
    <w:rsid w:val="0002611F"/>
    <w:rsid w:val="00033E4B"/>
    <w:rsid w:val="00040D50"/>
    <w:rsid w:val="00042E82"/>
    <w:rsid w:val="0005100F"/>
    <w:rsid w:val="00055420"/>
    <w:rsid w:val="000574A6"/>
    <w:rsid w:val="00070AAE"/>
    <w:rsid w:val="00077036"/>
    <w:rsid w:val="00081531"/>
    <w:rsid w:val="0009093A"/>
    <w:rsid w:val="00094363"/>
    <w:rsid w:val="000971B2"/>
    <w:rsid w:val="000A13DE"/>
    <w:rsid w:val="000A5FCA"/>
    <w:rsid w:val="000B286F"/>
    <w:rsid w:val="000B380F"/>
    <w:rsid w:val="000B4816"/>
    <w:rsid w:val="000C2E46"/>
    <w:rsid w:val="000C65E5"/>
    <w:rsid w:val="000E6DD9"/>
    <w:rsid w:val="000F0AEE"/>
    <w:rsid w:val="000F25FB"/>
    <w:rsid w:val="000F493C"/>
    <w:rsid w:val="00100A41"/>
    <w:rsid w:val="001031E3"/>
    <w:rsid w:val="00106242"/>
    <w:rsid w:val="00107A97"/>
    <w:rsid w:val="00110342"/>
    <w:rsid w:val="00115FF1"/>
    <w:rsid w:val="00120675"/>
    <w:rsid w:val="00122654"/>
    <w:rsid w:val="0012405D"/>
    <w:rsid w:val="00132C2C"/>
    <w:rsid w:val="00133414"/>
    <w:rsid w:val="00140EA2"/>
    <w:rsid w:val="0015157A"/>
    <w:rsid w:val="00152C5D"/>
    <w:rsid w:val="0015623F"/>
    <w:rsid w:val="00166BA5"/>
    <w:rsid w:val="00166F9D"/>
    <w:rsid w:val="00172829"/>
    <w:rsid w:val="00176259"/>
    <w:rsid w:val="001830BF"/>
    <w:rsid w:val="00184A3E"/>
    <w:rsid w:val="001A0335"/>
    <w:rsid w:val="001B140A"/>
    <w:rsid w:val="001B38B7"/>
    <w:rsid w:val="001B56B5"/>
    <w:rsid w:val="001C0DCB"/>
    <w:rsid w:val="001C2189"/>
    <w:rsid w:val="001C55D7"/>
    <w:rsid w:val="001C7A75"/>
    <w:rsid w:val="001F15E1"/>
    <w:rsid w:val="001F25EC"/>
    <w:rsid w:val="001F2E86"/>
    <w:rsid w:val="001F3422"/>
    <w:rsid w:val="001F45C1"/>
    <w:rsid w:val="001F484C"/>
    <w:rsid w:val="001F67B5"/>
    <w:rsid w:val="0020611A"/>
    <w:rsid w:val="00210658"/>
    <w:rsid w:val="002134B9"/>
    <w:rsid w:val="00225119"/>
    <w:rsid w:val="00226E34"/>
    <w:rsid w:val="00231D8B"/>
    <w:rsid w:val="002364B9"/>
    <w:rsid w:val="00237E20"/>
    <w:rsid w:val="0024167A"/>
    <w:rsid w:val="00241A08"/>
    <w:rsid w:val="002439C3"/>
    <w:rsid w:val="00244121"/>
    <w:rsid w:val="00247B64"/>
    <w:rsid w:val="002529B2"/>
    <w:rsid w:val="00257978"/>
    <w:rsid w:val="002644DE"/>
    <w:rsid w:val="0026751C"/>
    <w:rsid w:val="002700FD"/>
    <w:rsid w:val="00271741"/>
    <w:rsid w:val="002748F2"/>
    <w:rsid w:val="002773C7"/>
    <w:rsid w:val="002844F9"/>
    <w:rsid w:val="00285B30"/>
    <w:rsid w:val="00286EEE"/>
    <w:rsid w:val="00295A3C"/>
    <w:rsid w:val="002A1F86"/>
    <w:rsid w:val="002A3866"/>
    <w:rsid w:val="002B040B"/>
    <w:rsid w:val="002B2025"/>
    <w:rsid w:val="002B57AC"/>
    <w:rsid w:val="002B6756"/>
    <w:rsid w:val="002B7595"/>
    <w:rsid w:val="002C3778"/>
    <w:rsid w:val="002C4DDD"/>
    <w:rsid w:val="002D08AB"/>
    <w:rsid w:val="002D6B3F"/>
    <w:rsid w:val="002E2C09"/>
    <w:rsid w:val="002E3C5A"/>
    <w:rsid w:val="002E5462"/>
    <w:rsid w:val="002E62B4"/>
    <w:rsid w:val="002E6551"/>
    <w:rsid w:val="002F2729"/>
    <w:rsid w:val="002F2B2F"/>
    <w:rsid w:val="002F4FB1"/>
    <w:rsid w:val="002F54E5"/>
    <w:rsid w:val="00307402"/>
    <w:rsid w:val="00312286"/>
    <w:rsid w:val="0032228C"/>
    <w:rsid w:val="00322DC8"/>
    <w:rsid w:val="00325C0C"/>
    <w:rsid w:val="0033208C"/>
    <w:rsid w:val="00342BC8"/>
    <w:rsid w:val="00343D40"/>
    <w:rsid w:val="00345E2E"/>
    <w:rsid w:val="003527ED"/>
    <w:rsid w:val="00353E2F"/>
    <w:rsid w:val="00354F1E"/>
    <w:rsid w:val="00357341"/>
    <w:rsid w:val="00360A29"/>
    <w:rsid w:val="00381334"/>
    <w:rsid w:val="00381683"/>
    <w:rsid w:val="003915D1"/>
    <w:rsid w:val="003936C4"/>
    <w:rsid w:val="00397FA0"/>
    <w:rsid w:val="003A1072"/>
    <w:rsid w:val="003A152A"/>
    <w:rsid w:val="003D7774"/>
    <w:rsid w:val="003E44B6"/>
    <w:rsid w:val="00400022"/>
    <w:rsid w:val="00401A0B"/>
    <w:rsid w:val="00401F4D"/>
    <w:rsid w:val="00402AF9"/>
    <w:rsid w:val="00403075"/>
    <w:rsid w:val="00407C75"/>
    <w:rsid w:val="00411401"/>
    <w:rsid w:val="004218A8"/>
    <w:rsid w:val="00423194"/>
    <w:rsid w:val="00423B30"/>
    <w:rsid w:val="004309A4"/>
    <w:rsid w:val="0043597C"/>
    <w:rsid w:val="00435F3A"/>
    <w:rsid w:val="0045135C"/>
    <w:rsid w:val="00451CA7"/>
    <w:rsid w:val="00452BDD"/>
    <w:rsid w:val="004555CD"/>
    <w:rsid w:val="004577CB"/>
    <w:rsid w:val="00461723"/>
    <w:rsid w:val="00467CCF"/>
    <w:rsid w:val="00472012"/>
    <w:rsid w:val="004729F3"/>
    <w:rsid w:val="00483A94"/>
    <w:rsid w:val="00485FC7"/>
    <w:rsid w:val="00486212"/>
    <w:rsid w:val="00492A64"/>
    <w:rsid w:val="00494265"/>
    <w:rsid w:val="004A1243"/>
    <w:rsid w:val="004A5435"/>
    <w:rsid w:val="004B0D80"/>
    <w:rsid w:val="004B118E"/>
    <w:rsid w:val="004C123A"/>
    <w:rsid w:val="004C1646"/>
    <w:rsid w:val="004C79A8"/>
    <w:rsid w:val="004D4AAC"/>
    <w:rsid w:val="004D5BA1"/>
    <w:rsid w:val="004D6345"/>
    <w:rsid w:val="004D7651"/>
    <w:rsid w:val="004F0683"/>
    <w:rsid w:val="004F0E66"/>
    <w:rsid w:val="00500071"/>
    <w:rsid w:val="0050160D"/>
    <w:rsid w:val="00505746"/>
    <w:rsid w:val="00511210"/>
    <w:rsid w:val="00513407"/>
    <w:rsid w:val="00527F2F"/>
    <w:rsid w:val="0053483D"/>
    <w:rsid w:val="00534C98"/>
    <w:rsid w:val="00534D28"/>
    <w:rsid w:val="005374D8"/>
    <w:rsid w:val="00546A7D"/>
    <w:rsid w:val="00550328"/>
    <w:rsid w:val="00554B55"/>
    <w:rsid w:val="00561F5B"/>
    <w:rsid w:val="00565880"/>
    <w:rsid w:val="00575E6D"/>
    <w:rsid w:val="0059367D"/>
    <w:rsid w:val="005A1878"/>
    <w:rsid w:val="005A4DCE"/>
    <w:rsid w:val="005A63E4"/>
    <w:rsid w:val="005B3892"/>
    <w:rsid w:val="005B3CEB"/>
    <w:rsid w:val="005B44B0"/>
    <w:rsid w:val="005B7F0E"/>
    <w:rsid w:val="005C2124"/>
    <w:rsid w:val="005C2B86"/>
    <w:rsid w:val="005D2F2D"/>
    <w:rsid w:val="005D40D5"/>
    <w:rsid w:val="005D4758"/>
    <w:rsid w:val="005D660B"/>
    <w:rsid w:val="005E38CF"/>
    <w:rsid w:val="005E76CB"/>
    <w:rsid w:val="005F3E37"/>
    <w:rsid w:val="005F63DC"/>
    <w:rsid w:val="006046E6"/>
    <w:rsid w:val="006051BF"/>
    <w:rsid w:val="00611632"/>
    <w:rsid w:val="00613A00"/>
    <w:rsid w:val="00614019"/>
    <w:rsid w:val="00616CBB"/>
    <w:rsid w:val="0063730D"/>
    <w:rsid w:val="00651428"/>
    <w:rsid w:val="0066148E"/>
    <w:rsid w:val="00667B8D"/>
    <w:rsid w:val="00673FEE"/>
    <w:rsid w:val="00676084"/>
    <w:rsid w:val="00680BDD"/>
    <w:rsid w:val="006877A5"/>
    <w:rsid w:val="00687ABB"/>
    <w:rsid w:val="00693B9D"/>
    <w:rsid w:val="006A0AAF"/>
    <w:rsid w:val="006A43EF"/>
    <w:rsid w:val="006B0035"/>
    <w:rsid w:val="006B0791"/>
    <w:rsid w:val="006B32D9"/>
    <w:rsid w:val="006B367A"/>
    <w:rsid w:val="006B4D9B"/>
    <w:rsid w:val="006C7C32"/>
    <w:rsid w:val="006E055C"/>
    <w:rsid w:val="006E2C00"/>
    <w:rsid w:val="006E5E47"/>
    <w:rsid w:val="006F481E"/>
    <w:rsid w:val="00700E7D"/>
    <w:rsid w:val="00702923"/>
    <w:rsid w:val="00707C86"/>
    <w:rsid w:val="007114BF"/>
    <w:rsid w:val="00713E07"/>
    <w:rsid w:val="00723B25"/>
    <w:rsid w:val="00730CD6"/>
    <w:rsid w:val="00734507"/>
    <w:rsid w:val="00735701"/>
    <w:rsid w:val="00736EEB"/>
    <w:rsid w:val="00740287"/>
    <w:rsid w:val="00741C08"/>
    <w:rsid w:val="007508CC"/>
    <w:rsid w:val="007536BD"/>
    <w:rsid w:val="007558AD"/>
    <w:rsid w:val="00757C1C"/>
    <w:rsid w:val="0076411C"/>
    <w:rsid w:val="0076458B"/>
    <w:rsid w:val="00770153"/>
    <w:rsid w:val="00771208"/>
    <w:rsid w:val="00771CCD"/>
    <w:rsid w:val="00782DC3"/>
    <w:rsid w:val="00782DC5"/>
    <w:rsid w:val="00786E6A"/>
    <w:rsid w:val="00796C90"/>
    <w:rsid w:val="007A2946"/>
    <w:rsid w:val="007A6E71"/>
    <w:rsid w:val="007B0D5A"/>
    <w:rsid w:val="007C609B"/>
    <w:rsid w:val="007C6833"/>
    <w:rsid w:val="007D0631"/>
    <w:rsid w:val="007D2BA3"/>
    <w:rsid w:val="007D5B71"/>
    <w:rsid w:val="007F18BC"/>
    <w:rsid w:val="007F6C9B"/>
    <w:rsid w:val="00812CEC"/>
    <w:rsid w:val="00813866"/>
    <w:rsid w:val="00814EC5"/>
    <w:rsid w:val="00822DB4"/>
    <w:rsid w:val="0082449A"/>
    <w:rsid w:val="008255CD"/>
    <w:rsid w:val="00831AF7"/>
    <w:rsid w:val="008335BA"/>
    <w:rsid w:val="00833990"/>
    <w:rsid w:val="0084026B"/>
    <w:rsid w:val="00841D19"/>
    <w:rsid w:val="00841F38"/>
    <w:rsid w:val="00844698"/>
    <w:rsid w:val="008452DA"/>
    <w:rsid w:val="00865426"/>
    <w:rsid w:val="00871510"/>
    <w:rsid w:val="00871530"/>
    <w:rsid w:val="00874A88"/>
    <w:rsid w:val="00875B59"/>
    <w:rsid w:val="00877158"/>
    <w:rsid w:val="008914DB"/>
    <w:rsid w:val="00891E2D"/>
    <w:rsid w:val="00894F8A"/>
    <w:rsid w:val="008B0A36"/>
    <w:rsid w:val="008B2292"/>
    <w:rsid w:val="008B5313"/>
    <w:rsid w:val="008B738C"/>
    <w:rsid w:val="008D48C8"/>
    <w:rsid w:val="008E2311"/>
    <w:rsid w:val="008E447B"/>
    <w:rsid w:val="008E549B"/>
    <w:rsid w:val="008E7695"/>
    <w:rsid w:val="008F3792"/>
    <w:rsid w:val="008F6DBD"/>
    <w:rsid w:val="008F7484"/>
    <w:rsid w:val="008F774E"/>
    <w:rsid w:val="00901371"/>
    <w:rsid w:val="009056E7"/>
    <w:rsid w:val="0092237D"/>
    <w:rsid w:val="00922586"/>
    <w:rsid w:val="00924029"/>
    <w:rsid w:val="009251F1"/>
    <w:rsid w:val="00927B98"/>
    <w:rsid w:val="00930362"/>
    <w:rsid w:val="00930A4E"/>
    <w:rsid w:val="009336A8"/>
    <w:rsid w:val="0095178C"/>
    <w:rsid w:val="0096409F"/>
    <w:rsid w:val="009664C2"/>
    <w:rsid w:val="009724C1"/>
    <w:rsid w:val="00972E32"/>
    <w:rsid w:val="00975213"/>
    <w:rsid w:val="0097754E"/>
    <w:rsid w:val="00984495"/>
    <w:rsid w:val="0099550C"/>
    <w:rsid w:val="009A760E"/>
    <w:rsid w:val="009C2395"/>
    <w:rsid w:val="009C306A"/>
    <w:rsid w:val="009C40CE"/>
    <w:rsid w:val="009C7F76"/>
    <w:rsid w:val="009D0A2B"/>
    <w:rsid w:val="009E5AE7"/>
    <w:rsid w:val="009F3219"/>
    <w:rsid w:val="009F3BB8"/>
    <w:rsid w:val="009F519B"/>
    <w:rsid w:val="00A03935"/>
    <w:rsid w:val="00A05FBC"/>
    <w:rsid w:val="00A065C5"/>
    <w:rsid w:val="00A07CFA"/>
    <w:rsid w:val="00A10117"/>
    <w:rsid w:val="00A158E3"/>
    <w:rsid w:val="00A15A57"/>
    <w:rsid w:val="00A24385"/>
    <w:rsid w:val="00A25D95"/>
    <w:rsid w:val="00A30A06"/>
    <w:rsid w:val="00A35430"/>
    <w:rsid w:val="00A42DBE"/>
    <w:rsid w:val="00A4371C"/>
    <w:rsid w:val="00A47537"/>
    <w:rsid w:val="00A514BC"/>
    <w:rsid w:val="00A77AC4"/>
    <w:rsid w:val="00A81027"/>
    <w:rsid w:val="00A831F3"/>
    <w:rsid w:val="00A93BB4"/>
    <w:rsid w:val="00A96735"/>
    <w:rsid w:val="00AA0161"/>
    <w:rsid w:val="00AA3C3C"/>
    <w:rsid w:val="00AA7F74"/>
    <w:rsid w:val="00AB1CA0"/>
    <w:rsid w:val="00AB1D96"/>
    <w:rsid w:val="00AC311F"/>
    <w:rsid w:val="00AC4E5D"/>
    <w:rsid w:val="00AC7B3D"/>
    <w:rsid w:val="00AE4FE9"/>
    <w:rsid w:val="00AF5A5F"/>
    <w:rsid w:val="00AF63E9"/>
    <w:rsid w:val="00AF6F65"/>
    <w:rsid w:val="00B07E40"/>
    <w:rsid w:val="00B1184E"/>
    <w:rsid w:val="00B14A54"/>
    <w:rsid w:val="00B154B3"/>
    <w:rsid w:val="00B20981"/>
    <w:rsid w:val="00B30CA6"/>
    <w:rsid w:val="00B31079"/>
    <w:rsid w:val="00B404C4"/>
    <w:rsid w:val="00B4110C"/>
    <w:rsid w:val="00B47319"/>
    <w:rsid w:val="00B47C50"/>
    <w:rsid w:val="00B539C7"/>
    <w:rsid w:val="00B54472"/>
    <w:rsid w:val="00B5500D"/>
    <w:rsid w:val="00B57CB2"/>
    <w:rsid w:val="00B60CA7"/>
    <w:rsid w:val="00B611FD"/>
    <w:rsid w:val="00B61381"/>
    <w:rsid w:val="00B72447"/>
    <w:rsid w:val="00B762A1"/>
    <w:rsid w:val="00B76CDE"/>
    <w:rsid w:val="00B81BEE"/>
    <w:rsid w:val="00B92303"/>
    <w:rsid w:val="00B96108"/>
    <w:rsid w:val="00B97D34"/>
    <w:rsid w:val="00BA5CBA"/>
    <w:rsid w:val="00BA5D9E"/>
    <w:rsid w:val="00BA73D3"/>
    <w:rsid w:val="00BA74EF"/>
    <w:rsid w:val="00BB1C63"/>
    <w:rsid w:val="00BC2546"/>
    <w:rsid w:val="00BD7D40"/>
    <w:rsid w:val="00BE19A3"/>
    <w:rsid w:val="00BE3706"/>
    <w:rsid w:val="00BE4D7A"/>
    <w:rsid w:val="00BE6163"/>
    <w:rsid w:val="00BE7CCF"/>
    <w:rsid w:val="00BF198D"/>
    <w:rsid w:val="00BF3983"/>
    <w:rsid w:val="00C177C6"/>
    <w:rsid w:val="00C200D2"/>
    <w:rsid w:val="00C24FD9"/>
    <w:rsid w:val="00C25238"/>
    <w:rsid w:val="00C25323"/>
    <w:rsid w:val="00C36937"/>
    <w:rsid w:val="00C37D2B"/>
    <w:rsid w:val="00C37D8C"/>
    <w:rsid w:val="00C4348F"/>
    <w:rsid w:val="00C44862"/>
    <w:rsid w:val="00C457F5"/>
    <w:rsid w:val="00C50287"/>
    <w:rsid w:val="00C513C3"/>
    <w:rsid w:val="00C56BB2"/>
    <w:rsid w:val="00C632CC"/>
    <w:rsid w:val="00C674CF"/>
    <w:rsid w:val="00C71625"/>
    <w:rsid w:val="00C73A34"/>
    <w:rsid w:val="00C75B07"/>
    <w:rsid w:val="00C81745"/>
    <w:rsid w:val="00C947E0"/>
    <w:rsid w:val="00C94E78"/>
    <w:rsid w:val="00CA68FD"/>
    <w:rsid w:val="00CB5867"/>
    <w:rsid w:val="00CB6D1B"/>
    <w:rsid w:val="00CB7EB9"/>
    <w:rsid w:val="00CC5C1B"/>
    <w:rsid w:val="00CE07BF"/>
    <w:rsid w:val="00CF2F07"/>
    <w:rsid w:val="00D01F69"/>
    <w:rsid w:val="00D03A11"/>
    <w:rsid w:val="00D06F2D"/>
    <w:rsid w:val="00D103F0"/>
    <w:rsid w:val="00D1293E"/>
    <w:rsid w:val="00D12EFD"/>
    <w:rsid w:val="00D13C88"/>
    <w:rsid w:val="00D13E93"/>
    <w:rsid w:val="00D16580"/>
    <w:rsid w:val="00D21BCE"/>
    <w:rsid w:val="00D25A05"/>
    <w:rsid w:val="00D31E50"/>
    <w:rsid w:val="00D33520"/>
    <w:rsid w:val="00D40BB6"/>
    <w:rsid w:val="00D41AAD"/>
    <w:rsid w:val="00D42815"/>
    <w:rsid w:val="00D457CB"/>
    <w:rsid w:val="00D4690F"/>
    <w:rsid w:val="00D5049D"/>
    <w:rsid w:val="00D51AFB"/>
    <w:rsid w:val="00D52611"/>
    <w:rsid w:val="00D6470F"/>
    <w:rsid w:val="00D64F1D"/>
    <w:rsid w:val="00D73D81"/>
    <w:rsid w:val="00D7419F"/>
    <w:rsid w:val="00D8502D"/>
    <w:rsid w:val="00DA0AF4"/>
    <w:rsid w:val="00DA1BA6"/>
    <w:rsid w:val="00DA1DBB"/>
    <w:rsid w:val="00DA30D1"/>
    <w:rsid w:val="00DA68B4"/>
    <w:rsid w:val="00DB0A2B"/>
    <w:rsid w:val="00DB5CE8"/>
    <w:rsid w:val="00DD15D1"/>
    <w:rsid w:val="00DD1D96"/>
    <w:rsid w:val="00DD527C"/>
    <w:rsid w:val="00DD7342"/>
    <w:rsid w:val="00DE7AF2"/>
    <w:rsid w:val="00DE7FE8"/>
    <w:rsid w:val="00DF018C"/>
    <w:rsid w:val="00DF2836"/>
    <w:rsid w:val="00DF56F9"/>
    <w:rsid w:val="00DF7CD8"/>
    <w:rsid w:val="00E05D5A"/>
    <w:rsid w:val="00E063AE"/>
    <w:rsid w:val="00E136CF"/>
    <w:rsid w:val="00E2368D"/>
    <w:rsid w:val="00E23D53"/>
    <w:rsid w:val="00E27B77"/>
    <w:rsid w:val="00E347D4"/>
    <w:rsid w:val="00E34A25"/>
    <w:rsid w:val="00E3714C"/>
    <w:rsid w:val="00E404E7"/>
    <w:rsid w:val="00E42A74"/>
    <w:rsid w:val="00E4779E"/>
    <w:rsid w:val="00E50AD3"/>
    <w:rsid w:val="00E53D67"/>
    <w:rsid w:val="00E60522"/>
    <w:rsid w:val="00E65B64"/>
    <w:rsid w:val="00E65C3C"/>
    <w:rsid w:val="00E75FFF"/>
    <w:rsid w:val="00E77963"/>
    <w:rsid w:val="00E833A4"/>
    <w:rsid w:val="00E84F1E"/>
    <w:rsid w:val="00E96A4C"/>
    <w:rsid w:val="00EA6FD1"/>
    <w:rsid w:val="00EB084E"/>
    <w:rsid w:val="00EB7219"/>
    <w:rsid w:val="00EC12AE"/>
    <w:rsid w:val="00EC3201"/>
    <w:rsid w:val="00EC7409"/>
    <w:rsid w:val="00EE0FDC"/>
    <w:rsid w:val="00EE6ED7"/>
    <w:rsid w:val="00EE708F"/>
    <w:rsid w:val="00EF174E"/>
    <w:rsid w:val="00F01231"/>
    <w:rsid w:val="00F02488"/>
    <w:rsid w:val="00F046FB"/>
    <w:rsid w:val="00F11544"/>
    <w:rsid w:val="00F12AC7"/>
    <w:rsid w:val="00F16568"/>
    <w:rsid w:val="00F170E1"/>
    <w:rsid w:val="00F2047F"/>
    <w:rsid w:val="00F25C8F"/>
    <w:rsid w:val="00F373EB"/>
    <w:rsid w:val="00F47CE3"/>
    <w:rsid w:val="00F560E4"/>
    <w:rsid w:val="00F60BCA"/>
    <w:rsid w:val="00F6704A"/>
    <w:rsid w:val="00F715F2"/>
    <w:rsid w:val="00F72D7A"/>
    <w:rsid w:val="00F76F76"/>
    <w:rsid w:val="00F7732B"/>
    <w:rsid w:val="00F80AD8"/>
    <w:rsid w:val="00F82AFB"/>
    <w:rsid w:val="00F905E1"/>
    <w:rsid w:val="00F9293C"/>
    <w:rsid w:val="00F93D81"/>
    <w:rsid w:val="00F9752C"/>
    <w:rsid w:val="00FA0331"/>
    <w:rsid w:val="00FA0D03"/>
    <w:rsid w:val="00FA1810"/>
    <w:rsid w:val="00FA26AC"/>
    <w:rsid w:val="00FA3016"/>
    <w:rsid w:val="00FA40AA"/>
    <w:rsid w:val="00FA7555"/>
    <w:rsid w:val="00FB580D"/>
    <w:rsid w:val="00FC29AE"/>
    <w:rsid w:val="00FC305B"/>
    <w:rsid w:val="00FD049D"/>
    <w:rsid w:val="00FD6312"/>
    <w:rsid w:val="00FD72C7"/>
    <w:rsid w:val="00FE0193"/>
    <w:rsid w:val="00FE3C7F"/>
    <w:rsid w:val="00FF06C4"/>
    <w:rsid w:val="00FF113E"/>
    <w:rsid w:val="00FF4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87156"/>
  <w15:chartTrackingRefBased/>
  <w15:docId w15:val="{50B161F6-EA85-46E8-9EB9-730A306AB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CA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1CA7"/>
    <w:rPr>
      <w:color w:val="0563C1"/>
      <w:u w:val="single"/>
    </w:rPr>
  </w:style>
  <w:style w:type="paragraph" w:styleId="ListParagraph">
    <w:name w:val="List Paragraph"/>
    <w:basedOn w:val="Normal"/>
    <w:uiPriority w:val="34"/>
    <w:qFormat/>
    <w:rsid w:val="00451CA7"/>
    <w:pPr>
      <w:ind w:left="720"/>
      <w:contextualSpacing/>
    </w:pPr>
    <w:rPr>
      <w:sz w:val="24"/>
      <w:szCs w:val="24"/>
    </w:rPr>
  </w:style>
  <w:style w:type="character" w:styleId="UnresolvedMention">
    <w:name w:val="Unresolved Mention"/>
    <w:basedOn w:val="DefaultParagraphFont"/>
    <w:uiPriority w:val="99"/>
    <w:semiHidden/>
    <w:unhideWhenUsed/>
    <w:rsid w:val="00451CA7"/>
    <w:rPr>
      <w:color w:val="605E5C"/>
      <w:shd w:val="clear" w:color="auto" w:fill="E1DFDD"/>
    </w:rPr>
  </w:style>
  <w:style w:type="character" w:styleId="FollowedHyperlink">
    <w:name w:val="FollowedHyperlink"/>
    <w:basedOn w:val="DefaultParagraphFont"/>
    <w:uiPriority w:val="99"/>
    <w:semiHidden/>
    <w:unhideWhenUsed/>
    <w:rsid w:val="00FD049D"/>
    <w:rPr>
      <w:color w:val="954F72" w:themeColor="followedHyperlink"/>
      <w:u w:val="single"/>
    </w:rPr>
  </w:style>
  <w:style w:type="paragraph" w:styleId="BalloonText">
    <w:name w:val="Balloon Text"/>
    <w:basedOn w:val="Normal"/>
    <w:link w:val="BalloonTextChar"/>
    <w:uiPriority w:val="99"/>
    <w:semiHidden/>
    <w:unhideWhenUsed/>
    <w:rsid w:val="003A15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52A"/>
    <w:rPr>
      <w:rFonts w:ascii="Segoe UI" w:hAnsi="Segoe UI" w:cs="Segoe UI"/>
      <w:sz w:val="18"/>
      <w:szCs w:val="18"/>
    </w:rPr>
  </w:style>
  <w:style w:type="paragraph" w:styleId="PlainText">
    <w:name w:val="Plain Text"/>
    <w:basedOn w:val="Normal"/>
    <w:link w:val="PlainTextChar"/>
    <w:uiPriority w:val="99"/>
    <w:unhideWhenUsed/>
    <w:rsid w:val="00BA5CBA"/>
    <w:rPr>
      <w:rFonts w:cstheme="minorBidi"/>
      <w:szCs w:val="21"/>
    </w:rPr>
  </w:style>
  <w:style w:type="character" w:customStyle="1" w:styleId="PlainTextChar">
    <w:name w:val="Plain Text Char"/>
    <w:basedOn w:val="DefaultParagraphFont"/>
    <w:link w:val="PlainText"/>
    <w:uiPriority w:val="99"/>
    <w:rsid w:val="00BA5CBA"/>
    <w:rPr>
      <w:rFonts w:ascii="Calibri" w:hAnsi="Calibri"/>
      <w:szCs w:val="21"/>
    </w:rPr>
  </w:style>
  <w:style w:type="character" w:styleId="CommentReference">
    <w:name w:val="annotation reference"/>
    <w:basedOn w:val="DefaultParagraphFont"/>
    <w:uiPriority w:val="99"/>
    <w:semiHidden/>
    <w:unhideWhenUsed/>
    <w:rsid w:val="00F80AD8"/>
    <w:rPr>
      <w:sz w:val="16"/>
      <w:szCs w:val="16"/>
    </w:rPr>
  </w:style>
  <w:style w:type="paragraph" w:styleId="CommentText">
    <w:name w:val="annotation text"/>
    <w:basedOn w:val="Normal"/>
    <w:link w:val="CommentTextChar"/>
    <w:uiPriority w:val="99"/>
    <w:unhideWhenUsed/>
    <w:rsid w:val="00F80AD8"/>
    <w:rPr>
      <w:sz w:val="20"/>
      <w:szCs w:val="20"/>
    </w:rPr>
  </w:style>
  <w:style w:type="character" w:customStyle="1" w:styleId="CommentTextChar">
    <w:name w:val="Comment Text Char"/>
    <w:basedOn w:val="DefaultParagraphFont"/>
    <w:link w:val="CommentText"/>
    <w:uiPriority w:val="99"/>
    <w:rsid w:val="00F80AD8"/>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F80AD8"/>
    <w:rPr>
      <w:b/>
      <w:bCs/>
    </w:rPr>
  </w:style>
  <w:style w:type="character" w:customStyle="1" w:styleId="CommentSubjectChar">
    <w:name w:val="Comment Subject Char"/>
    <w:basedOn w:val="CommentTextChar"/>
    <w:link w:val="CommentSubject"/>
    <w:uiPriority w:val="99"/>
    <w:semiHidden/>
    <w:rsid w:val="00F80AD8"/>
    <w:rPr>
      <w:rFonts w:ascii="Calibri" w:hAnsi="Calibri" w:cs="Calibri"/>
      <w:b/>
      <w:bCs/>
      <w:sz w:val="20"/>
      <w:szCs w:val="20"/>
    </w:rPr>
  </w:style>
  <w:style w:type="paragraph" w:styleId="Header">
    <w:name w:val="header"/>
    <w:basedOn w:val="Normal"/>
    <w:link w:val="HeaderChar"/>
    <w:uiPriority w:val="99"/>
    <w:unhideWhenUsed/>
    <w:rsid w:val="00BA73D3"/>
    <w:pPr>
      <w:tabs>
        <w:tab w:val="center" w:pos="4680"/>
        <w:tab w:val="right" w:pos="9360"/>
      </w:tabs>
    </w:pPr>
  </w:style>
  <w:style w:type="character" w:customStyle="1" w:styleId="HeaderChar">
    <w:name w:val="Header Char"/>
    <w:basedOn w:val="DefaultParagraphFont"/>
    <w:link w:val="Header"/>
    <w:uiPriority w:val="99"/>
    <w:rsid w:val="00BA73D3"/>
    <w:rPr>
      <w:rFonts w:ascii="Calibri" w:hAnsi="Calibri" w:cs="Calibri"/>
    </w:rPr>
  </w:style>
  <w:style w:type="paragraph" w:styleId="Footer">
    <w:name w:val="footer"/>
    <w:basedOn w:val="Normal"/>
    <w:link w:val="FooterChar"/>
    <w:uiPriority w:val="99"/>
    <w:unhideWhenUsed/>
    <w:rsid w:val="00BA73D3"/>
    <w:pPr>
      <w:tabs>
        <w:tab w:val="center" w:pos="4680"/>
        <w:tab w:val="right" w:pos="9360"/>
      </w:tabs>
    </w:pPr>
  </w:style>
  <w:style w:type="character" w:customStyle="1" w:styleId="FooterChar">
    <w:name w:val="Footer Char"/>
    <w:basedOn w:val="DefaultParagraphFont"/>
    <w:link w:val="Footer"/>
    <w:uiPriority w:val="99"/>
    <w:rsid w:val="00BA73D3"/>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0465">
      <w:bodyDiv w:val="1"/>
      <w:marLeft w:val="0"/>
      <w:marRight w:val="0"/>
      <w:marTop w:val="0"/>
      <w:marBottom w:val="0"/>
      <w:divBdr>
        <w:top w:val="none" w:sz="0" w:space="0" w:color="auto"/>
        <w:left w:val="none" w:sz="0" w:space="0" w:color="auto"/>
        <w:bottom w:val="none" w:sz="0" w:space="0" w:color="auto"/>
        <w:right w:val="none" w:sz="0" w:space="0" w:color="auto"/>
      </w:divBdr>
    </w:div>
    <w:div w:id="84421158">
      <w:bodyDiv w:val="1"/>
      <w:marLeft w:val="0"/>
      <w:marRight w:val="0"/>
      <w:marTop w:val="0"/>
      <w:marBottom w:val="0"/>
      <w:divBdr>
        <w:top w:val="none" w:sz="0" w:space="0" w:color="auto"/>
        <w:left w:val="none" w:sz="0" w:space="0" w:color="auto"/>
        <w:bottom w:val="none" w:sz="0" w:space="0" w:color="auto"/>
        <w:right w:val="none" w:sz="0" w:space="0" w:color="auto"/>
      </w:divBdr>
    </w:div>
    <w:div w:id="104037446">
      <w:bodyDiv w:val="1"/>
      <w:marLeft w:val="0"/>
      <w:marRight w:val="0"/>
      <w:marTop w:val="0"/>
      <w:marBottom w:val="0"/>
      <w:divBdr>
        <w:top w:val="none" w:sz="0" w:space="0" w:color="auto"/>
        <w:left w:val="none" w:sz="0" w:space="0" w:color="auto"/>
        <w:bottom w:val="none" w:sz="0" w:space="0" w:color="auto"/>
        <w:right w:val="none" w:sz="0" w:space="0" w:color="auto"/>
      </w:divBdr>
    </w:div>
    <w:div w:id="121652108">
      <w:bodyDiv w:val="1"/>
      <w:marLeft w:val="0"/>
      <w:marRight w:val="0"/>
      <w:marTop w:val="0"/>
      <w:marBottom w:val="0"/>
      <w:divBdr>
        <w:top w:val="none" w:sz="0" w:space="0" w:color="auto"/>
        <w:left w:val="none" w:sz="0" w:space="0" w:color="auto"/>
        <w:bottom w:val="none" w:sz="0" w:space="0" w:color="auto"/>
        <w:right w:val="none" w:sz="0" w:space="0" w:color="auto"/>
      </w:divBdr>
    </w:div>
    <w:div w:id="301084908">
      <w:bodyDiv w:val="1"/>
      <w:marLeft w:val="0"/>
      <w:marRight w:val="0"/>
      <w:marTop w:val="0"/>
      <w:marBottom w:val="0"/>
      <w:divBdr>
        <w:top w:val="none" w:sz="0" w:space="0" w:color="auto"/>
        <w:left w:val="none" w:sz="0" w:space="0" w:color="auto"/>
        <w:bottom w:val="none" w:sz="0" w:space="0" w:color="auto"/>
        <w:right w:val="none" w:sz="0" w:space="0" w:color="auto"/>
      </w:divBdr>
    </w:div>
    <w:div w:id="349841857">
      <w:bodyDiv w:val="1"/>
      <w:marLeft w:val="0"/>
      <w:marRight w:val="0"/>
      <w:marTop w:val="0"/>
      <w:marBottom w:val="0"/>
      <w:divBdr>
        <w:top w:val="none" w:sz="0" w:space="0" w:color="auto"/>
        <w:left w:val="none" w:sz="0" w:space="0" w:color="auto"/>
        <w:bottom w:val="none" w:sz="0" w:space="0" w:color="auto"/>
        <w:right w:val="none" w:sz="0" w:space="0" w:color="auto"/>
      </w:divBdr>
    </w:div>
    <w:div w:id="364915143">
      <w:bodyDiv w:val="1"/>
      <w:marLeft w:val="0"/>
      <w:marRight w:val="0"/>
      <w:marTop w:val="0"/>
      <w:marBottom w:val="0"/>
      <w:divBdr>
        <w:top w:val="none" w:sz="0" w:space="0" w:color="auto"/>
        <w:left w:val="none" w:sz="0" w:space="0" w:color="auto"/>
        <w:bottom w:val="none" w:sz="0" w:space="0" w:color="auto"/>
        <w:right w:val="none" w:sz="0" w:space="0" w:color="auto"/>
      </w:divBdr>
    </w:div>
    <w:div w:id="370422448">
      <w:bodyDiv w:val="1"/>
      <w:marLeft w:val="0"/>
      <w:marRight w:val="0"/>
      <w:marTop w:val="0"/>
      <w:marBottom w:val="0"/>
      <w:divBdr>
        <w:top w:val="none" w:sz="0" w:space="0" w:color="auto"/>
        <w:left w:val="none" w:sz="0" w:space="0" w:color="auto"/>
        <w:bottom w:val="none" w:sz="0" w:space="0" w:color="auto"/>
        <w:right w:val="none" w:sz="0" w:space="0" w:color="auto"/>
      </w:divBdr>
    </w:div>
    <w:div w:id="389620290">
      <w:bodyDiv w:val="1"/>
      <w:marLeft w:val="0"/>
      <w:marRight w:val="0"/>
      <w:marTop w:val="0"/>
      <w:marBottom w:val="0"/>
      <w:divBdr>
        <w:top w:val="none" w:sz="0" w:space="0" w:color="auto"/>
        <w:left w:val="none" w:sz="0" w:space="0" w:color="auto"/>
        <w:bottom w:val="none" w:sz="0" w:space="0" w:color="auto"/>
        <w:right w:val="none" w:sz="0" w:space="0" w:color="auto"/>
      </w:divBdr>
    </w:div>
    <w:div w:id="403651923">
      <w:bodyDiv w:val="1"/>
      <w:marLeft w:val="0"/>
      <w:marRight w:val="0"/>
      <w:marTop w:val="0"/>
      <w:marBottom w:val="0"/>
      <w:divBdr>
        <w:top w:val="none" w:sz="0" w:space="0" w:color="auto"/>
        <w:left w:val="none" w:sz="0" w:space="0" w:color="auto"/>
        <w:bottom w:val="none" w:sz="0" w:space="0" w:color="auto"/>
        <w:right w:val="none" w:sz="0" w:space="0" w:color="auto"/>
      </w:divBdr>
    </w:div>
    <w:div w:id="441074570">
      <w:bodyDiv w:val="1"/>
      <w:marLeft w:val="0"/>
      <w:marRight w:val="0"/>
      <w:marTop w:val="0"/>
      <w:marBottom w:val="0"/>
      <w:divBdr>
        <w:top w:val="none" w:sz="0" w:space="0" w:color="auto"/>
        <w:left w:val="none" w:sz="0" w:space="0" w:color="auto"/>
        <w:bottom w:val="none" w:sz="0" w:space="0" w:color="auto"/>
        <w:right w:val="none" w:sz="0" w:space="0" w:color="auto"/>
      </w:divBdr>
    </w:div>
    <w:div w:id="450444255">
      <w:bodyDiv w:val="1"/>
      <w:marLeft w:val="0"/>
      <w:marRight w:val="0"/>
      <w:marTop w:val="0"/>
      <w:marBottom w:val="0"/>
      <w:divBdr>
        <w:top w:val="none" w:sz="0" w:space="0" w:color="auto"/>
        <w:left w:val="none" w:sz="0" w:space="0" w:color="auto"/>
        <w:bottom w:val="none" w:sz="0" w:space="0" w:color="auto"/>
        <w:right w:val="none" w:sz="0" w:space="0" w:color="auto"/>
      </w:divBdr>
    </w:div>
    <w:div w:id="502161928">
      <w:bodyDiv w:val="1"/>
      <w:marLeft w:val="0"/>
      <w:marRight w:val="0"/>
      <w:marTop w:val="0"/>
      <w:marBottom w:val="0"/>
      <w:divBdr>
        <w:top w:val="none" w:sz="0" w:space="0" w:color="auto"/>
        <w:left w:val="none" w:sz="0" w:space="0" w:color="auto"/>
        <w:bottom w:val="none" w:sz="0" w:space="0" w:color="auto"/>
        <w:right w:val="none" w:sz="0" w:space="0" w:color="auto"/>
      </w:divBdr>
    </w:div>
    <w:div w:id="669210308">
      <w:bodyDiv w:val="1"/>
      <w:marLeft w:val="0"/>
      <w:marRight w:val="0"/>
      <w:marTop w:val="0"/>
      <w:marBottom w:val="0"/>
      <w:divBdr>
        <w:top w:val="none" w:sz="0" w:space="0" w:color="auto"/>
        <w:left w:val="none" w:sz="0" w:space="0" w:color="auto"/>
        <w:bottom w:val="none" w:sz="0" w:space="0" w:color="auto"/>
        <w:right w:val="none" w:sz="0" w:space="0" w:color="auto"/>
      </w:divBdr>
    </w:div>
    <w:div w:id="687222458">
      <w:bodyDiv w:val="1"/>
      <w:marLeft w:val="0"/>
      <w:marRight w:val="0"/>
      <w:marTop w:val="0"/>
      <w:marBottom w:val="0"/>
      <w:divBdr>
        <w:top w:val="none" w:sz="0" w:space="0" w:color="auto"/>
        <w:left w:val="none" w:sz="0" w:space="0" w:color="auto"/>
        <w:bottom w:val="none" w:sz="0" w:space="0" w:color="auto"/>
        <w:right w:val="none" w:sz="0" w:space="0" w:color="auto"/>
      </w:divBdr>
    </w:div>
    <w:div w:id="722292292">
      <w:bodyDiv w:val="1"/>
      <w:marLeft w:val="0"/>
      <w:marRight w:val="0"/>
      <w:marTop w:val="0"/>
      <w:marBottom w:val="0"/>
      <w:divBdr>
        <w:top w:val="none" w:sz="0" w:space="0" w:color="auto"/>
        <w:left w:val="none" w:sz="0" w:space="0" w:color="auto"/>
        <w:bottom w:val="none" w:sz="0" w:space="0" w:color="auto"/>
        <w:right w:val="none" w:sz="0" w:space="0" w:color="auto"/>
      </w:divBdr>
    </w:div>
    <w:div w:id="732775472">
      <w:bodyDiv w:val="1"/>
      <w:marLeft w:val="0"/>
      <w:marRight w:val="0"/>
      <w:marTop w:val="0"/>
      <w:marBottom w:val="0"/>
      <w:divBdr>
        <w:top w:val="none" w:sz="0" w:space="0" w:color="auto"/>
        <w:left w:val="none" w:sz="0" w:space="0" w:color="auto"/>
        <w:bottom w:val="none" w:sz="0" w:space="0" w:color="auto"/>
        <w:right w:val="none" w:sz="0" w:space="0" w:color="auto"/>
      </w:divBdr>
    </w:div>
    <w:div w:id="830024402">
      <w:bodyDiv w:val="1"/>
      <w:marLeft w:val="0"/>
      <w:marRight w:val="0"/>
      <w:marTop w:val="0"/>
      <w:marBottom w:val="0"/>
      <w:divBdr>
        <w:top w:val="none" w:sz="0" w:space="0" w:color="auto"/>
        <w:left w:val="none" w:sz="0" w:space="0" w:color="auto"/>
        <w:bottom w:val="none" w:sz="0" w:space="0" w:color="auto"/>
        <w:right w:val="none" w:sz="0" w:space="0" w:color="auto"/>
      </w:divBdr>
    </w:div>
    <w:div w:id="840900147">
      <w:bodyDiv w:val="1"/>
      <w:marLeft w:val="0"/>
      <w:marRight w:val="0"/>
      <w:marTop w:val="0"/>
      <w:marBottom w:val="0"/>
      <w:divBdr>
        <w:top w:val="none" w:sz="0" w:space="0" w:color="auto"/>
        <w:left w:val="none" w:sz="0" w:space="0" w:color="auto"/>
        <w:bottom w:val="none" w:sz="0" w:space="0" w:color="auto"/>
        <w:right w:val="none" w:sz="0" w:space="0" w:color="auto"/>
      </w:divBdr>
    </w:div>
    <w:div w:id="885681875">
      <w:bodyDiv w:val="1"/>
      <w:marLeft w:val="0"/>
      <w:marRight w:val="0"/>
      <w:marTop w:val="0"/>
      <w:marBottom w:val="0"/>
      <w:divBdr>
        <w:top w:val="none" w:sz="0" w:space="0" w:color="auto"/>
        <w:left w:val="none" w:sz="0" w:space="0" w:color="auto"/>
        <w:bottom w:val="none" w:sz="0" w:space="0" w:color="auto"/>
        <w:right w:val="none" w:sz="0" w:space="0" w:color="auto"/>
      </w:divBdr>
    </w:div>
    <w:div w:id="933636017">
      <w:bodyDiv w:val="1"/>
      <w:marLeft w:val="0"/>
      <w:marRight w:val="0"/>
      <w:marTop w:val="0"/>
      <w:marBottom w:val="0"/>
      <w:divBdr>
        <w:top w:val="none" w:sz="0" w:space="0" w:color="auto"/>
        <w:left w:val="none" w:sz="0" w:space="0" w:color="auto"/>
        <w:bottom w:val="none" w:sz="0" w:space="0" w:color="auto"/>
        <w:right w:val="none" w:sz="0" w:space="0" w:color="auto"/>
      </w:divBdr>
    </w:div>
    <w:div w:id="971061976">
      <w:bodyDiv w:val="1"/>
      <w:marLeft w:val="0"/>
      <w:marRight w:val="0"/>
      <w:marTop w:val="0"/>
      <w:marBottom w:val="0"/>
      <w:divBdr>
        <w:top w:val="none" w:sz="0" w:space="0" w:color="auto"/>
        <w:left w:val="none" w:sz="0" w:space="0" w:color="auto"/>
        <w:bottom w:val="none" w:sz="0" w:space="0" w:color="auto"/>
        <w:right w:val="none" w:sz="0" w:space="0" w:color="auto"/>
      </w:divBdr>
    </w:div>
    <w:div w:id="978336706">
      <w:bodyDiv w:val="1"/>
      <w:marLeft w:val="0"/>
      <w:marRight w:val="0"/>
      <w:marTop w:val="0"/>
      <w:marBottom w:val="0"/>
      <w:divBdr>
        <w:top w:val="none" w:sz="0" w:space="0" w:color="auto"/>
        <w:left w:val="none" w:sz="0" w:space="0" w:color="auto"/>
        <w:bottom w:val="none" w:sz="0" w:space="0" w:color="auto"/>
        <w:right w:val="none" w:sz="0" w:space="0" w:color="auto"/>
      </w:divBdr>
    </w:div>
    <w:div w:id="1083183359">
      <w:bodyDiv w:val="1"/>
      <w:marLeft w:val="0"/>
      <w:marRight w:val="0"/>
      <w:marTop w:val="0"/>
      <w:marBottom w:val="0"/>
      <w:divBdr>
        <w:top w:val="none" w:sz="0" w:space="0" w:color="auto"/>
        <w:left w:val="none" w:sz="0" w:space="0" w:color="auto"/>
        <w:bottom w:val="none" w:sz="0" w:space="0" w:color="auto"/>
        <w:right w:val="none" w:sz="0" w:space="0" w:color="auto"/>
      </w:divBdr>
    </w:div>
    <w:div w:id="1182166909">
      <w:bodyDiv w:val="1"/>
      <w:marLeft w:val="0"/>
      <w:marRight w:val="0"/>
      <w:marTop w:val="0"/>
      <w:marBottom w:val="0"/>
      <w:divBdr>
        <w:top w:val="none" w:sz="0" w:space="0" w:color="auto"/>
        <w:left w:val="none" w:sz="0" w:space="0" w:color="auto"/>
        <w:bottom w:val="none" w:sz="0" w:space="0" w:color="auto"/>
        <w:right w:val="none" w:sz="0" w:space="0" w:color="auto"/>
      </w:divBdr>
    </w:div>
    <w:div w:id="1327054281">
      <w:bodyDiv w:val="1"/>
      <w:marLeft w:val="0"/>
      <w:marRight w:val="0"/>
      <w:marTop w:val="0"/>
      <w:marBottom w:val="0"/>
      <w:divBdr>
        <w:top w:val="none" w:sz="0" w:space="0" w:color="auto"/>
        <w:left w:val="none" w:sz="0" w:space="0" w:color="auto"/>
        <w:bottom w:val="none" w:sz="0" w:space="0" w:color="auto"/>
        <w:right w:val="none" w:sz="0" w:space="0" w:color="auto"/>
      </w:divBdr>
    </w:div>
    <w:div w:id="1564943654">
      <w:bodyDiv w:val="1"/>
      <w:marLeft w:val="0"/>
      <w:marRight w:val="0"/>
      <w:marTop w:val="0"/>
      <w:marBottom w:val="0"/>
      <w:divBdr>
        <w:top w:val="none" w:sz="0" w:space="0" w:color="auto"/>
        <w:left w:val="none" w:sz="0" w:space="0" w:color="auto"/>
        <w:bottom w:val="none" w:sz="0" w:space="0" w:color="auto"/>
        <w:right w:val="none" w:sz="0" w:space="0" w:color="auto"/>
      </w:divBdr>
    </w:div>
    <w:div w:id="1774589193">
      <w:bodyDiv w:val="1"/>
      <w:marLeft w:val="0"/>
      <w:marRight w:val="0"/>
      <w:marTop w:val="0"/>
      <w:marBottom w:val="0"/>
      <w:divBdr>
        <w:top w:val="none" w:sz="0" w:space="0" w:color="auto"/>
        <w:left w:val="none" w:sz="0" w:space="0" w:color="auto"/>
        <w:bottom w:val="none" w:sz="0" w:space="0" w:color="auto"/>
        <w:right w:val="none" w:sz="0" w:space="0" w:color="auto"/>
      </w:divBdr>
    </w:div>
    <w:div w:id="1778940745">
      <w:bodyDiv w:val="1"/>
      <w:marLeft w:val="0"/>
      <w:marRight w:val="0"/>
      <w:marTop w:val="0"/>
      <w:marBottom w:val="0"/>
      <w:divBdr>
        <w:top w:val="none" w:sz="0" w:space="0" w:color="auto"/>
        <w:left w:val="none" w:sz="0" w:space="0" w:color="auto"/>
        <w:bottom w:val="none" w:sz="0" w:space="0" w:color="auto"/>
        <w:right w:val="none" w:sz="0" w:space="0" w:color="auto"/>
      </w:divBdr>
    </w:div>
    <w:div w:id="1800298040">
      <w:bodyDiv w:val="1"/>
      <w:marLeft w:val="0"/>
      <w:marRight w:val="0"/>
      <w:marTop w:val="0"/>
      <w:marBottom w:val="0"/>
      <w:divBdr>
        <w:top w:val="none" w:sz="0" w:space="0" w:color="auto"/>
        <w:left w:val="none" w:sz="0" w:space="0" w:color="auto"/>
        <w:bottom w:val="none" w:sz="0" w:space="0" w:color="auto"/>
        <w:right w:val="none" w:sz="0" w:space="0" w:color="auto"/>
      </w:divBdr>
    </w:div>
    <w:div w:id="1843668171">
      <w:bodyDiv w:val="1"/>
      <w:marLeft w:val="0"/>
      <w:marRight w:val="0"/>
      <w:marTop w:val="0"/>
      <w:marBottom w:val="0"/>
      <w:divBdr>
        <w:top w:val="none" w:sz="0" w:space="0" w:color="auto"/>
        <w:left w:val="none" w:sz="0" w:space="0" w:color="auto"/>
        <w:bottom w:val="none" w:sz="0" w:space="0" w:color="auto"/>
        <w:right w:val="none" w:sz="0" w:space="0" w:color="auto"/>
      </w:divBdr>
    </w:div>
    <w:div w:id="1884830530">
      <w:bodyDiv w:val="1"/>
      <w:marLeft w:val="0"/>
      <w:marRight w:val="0"/>
      <w:marTop w:val="0"/>
      <w:marBottom w:val="0"/>
      <w:divBdr>
        <w:top w:val="none" w:sz="0" w:space="0" w:color="auto"/>
        <w:left w:val="none" w:sz="0" w:space="0" w:color="auto"/>
        <w:bottom w:val="none" w:sz="0" w:space="0" w:color="auto"/>
        <w:right w:val="none" w:sz="0" w:space="0" w:color="auto"/>
      </w:divBdr>
    </w:div>
    <w:div w:id="1916083172">
      <w:bodyDiv w:val="1"/>
      <w:marLeft w:val="0"/>
      <w:marRight w:val="0"/>
      <w:marTop w:val="0"/>
      <w:marBottom w:val="0"/>
      <w:divBdr>
        <w:top w:val="none" w:sz="0" w:space="0" w:color="auto"/>
        <w:left w:val="none" w:sz="0" w:space="0" w:color="auto"/>
        <w:bottom w:val="none" w:sz="0" w:space="0" w:color="auto"/>
        <w:right w:val="none" w:sz="0" w:space="0" w:color="auto"/>
      </w:divBdr>
    </w:div>
    <w:div w:id="1962226869">
      <w:bodyDiv w:val="1"/>
      <w:marLeft w:val="0"/>
      <w:marRight w:val="0"/>
      <w:marTop w:val="0"/>
      <w:marBottom w:val="0"/>
      <w:divBdr>
        <w:top w:val="none" w:sz="0" w:space="0" w:color="auto"/>
        <w:left w:val="none" w:sz="0" w:space="0" w:color="auto"/>
        <w:bottom w:val="none" w:sz="0" w:space="0" w:color="auto"/>
        <w:right w:val="none" w:sz="0" w:space="0" w:color="auto"/>
      </w:divBdr>
    </w:div>
    <w:div w:id="2003117038">
      <w:bodyDiv w:val="1"/>
      <w:marLeft w:val="0"/>
      <w:marRight w:val="0"/>
      <w:marTop w:val="0"/>
      <w:marBottom w:val="0"/>
      <w:divBdr>
        <w:top w:val="none" w:sz="0" w:space="0" w:color="auto"/>
        <w:left w:val="none" w:sz="0" w:space="0" w:color="auto"/>
        <w:bottom w:val="none" w:sz="0" w:space="0" w:color="auto"/>
        <w:right w:val="none" w:sz="0" w:space="0" w:color="auto"/>
      </w:divBdr>
    </w:div>
    <w:div w:id="2010404055">
      <w:bodyDiv w:val="1"/>
      <w:marLeft w:val="0"/>
      <w:marRight w:val="0"/>
      <w:marTop w:val="0"/>
      <w:marBottom w:val="0"/>
      <w:divBdr>
        <w:top w:val="none" w:sz="0" w:space="0" w:color="auto"/>
        <w:left w:val="none" w:sz="0" w:space="0" w:color="auto"/>
        <w:bottom w:val="none" w:sz="0" w:space="0" w:color="auto"/>
        <w:right w:val="none" w:sz="0" w:space="0" w:color="auto"/>
      </w:divBdr>
    </w:div>
    <w:div w:id="2126924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assp.sharepoint.com/:b:/s/AnonymousSharing/EbEpSdJbodFCmNkwL5-XEEoBvPgie9s1U0Yc2rP22r-zjw?e=czanYM" TargetMode="External"/><Relationship Id="rId18" Type="http://schemas.openxmlformats.org/officeDocument/2006/relationships/hyperlink" Target="https://nam10.safelinks.protection.outlook.com/?url=https%3A%2F%2Fwww.whitehouse.gov%2Fpresidential-actions%2F2025%2F03%2Fcontinuing-the-reduction-of-the-federal-bureaucracy%2F&amp;data=05%7C02%7Cwaplesg%40nassp.org%7C9cca34a19c11402d8fac08de311fed2c%7C574975e355a5453dbd67b08c4be20e74%7C0%7C0%7C639002210571602897%7CUnknown%7CTWFpbGZsb3d8eyJFbXB0eU1hcGkiOnRydWUsIlYiOiIwLjAuMDAwMCIsIlAiOiJXaW4zMiIsIkFOIjoiTWFpbCIsIldUIjoyfQ%3D%3D%7C0%7C%7C%7C&amp;sdata=C9fdoElsdqcnW6TOPtzLMv62qXKNqwCqB1s73cnkwys%3D&amp;reserved=0" TargetMode="External"/><Relationship Id="rId26" Type="http://schemas.openxmlformats.org/officeDocument/2006/relationships/hyperlink" Target="https://www.youtube.com/watch?v=9FPj0Fw2Kkw" TargetMode="External"/><Relationship Id="rId3" Type="http://schemas.openxmlformats.org/officeDocument/2006/relationships/customXml" Target="../customXml/item3.xml"/><Relationship Id="rId21" Type="http://schemas.openxmlformats.org/officeDocument/2006/relationships/hyperlink" Target="https://nepc.colorado.edu/publication/vouchers" TargetMode="External"/><Relationship Id="rId7" Type="http://schemas.openxmlformats.org/officeDocument/2006/relationships/webSettings" Target="webSettings.xml"/><Relationship Id="rId12" Type="http://schemas.openxmlformats.org/officeDocument/2006/relationships/hyperlink" Target="https://nassp.sharepoint.com/:w:/s/AnonymousSharing/ESDGyMidtbxGlFRLX8l6zWEBlo3QUHgMiHGQnRHNM2bJPw?e=R0Lbk0" TargetMode="External"/><Relationship Id="rId17" Type="http://schemas.openxmlformats.org/officeDocument/2006/relationships/hyperlink" Target="https://nassp.sharepoint.com/:f:/s/AnonymousSharing/IgBfSJ_F32YjRJT_kRXQaOmKAWRiAIVDue8Yn_pQk_kHaEg?e=avaLhe" TargetMode="External"/><Relationship Id="rId25" Type="http://schemas.openxmlformats.org/officeDocument/2006/relationships/hyperlink" Target="https://www.nassp.org/nassp-academy/" TargetMode="External"/><Relationship Id="rId2" Type="http://schemas.openxmlformats.org/officeDocument/2006/relationships/customXml" Target="../customXml/item2.xml"/><Relationship Id="rId16" Type="http://schemas.openxmlformats.org/officeDocument/2006/relationships/hyperlink" Target="https://www.surveymonkey.com/r/Q4PulseCheck" TargetMode="External"/><Relationship Id="rId20" Type="http://schemas.openxmlformats.org/officeDocument/2006/relationships/hyperlink" Target="https://nassp.sharepoint.com/:w:/s/AnonymousSharing/IQBdpzlxKrVGQpdNqKfbAWcLAXUe_1kxtH5JlhZ-zHXDjjM?e=LkXDA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jpg@01D5D03F.17AFC550" TargetMode="External"/><Relationship Id="rId24" Type="http://schemas.openxmlformats.org/officeDocument/2006/relationships/hyperlink" Target="https://studyinthestates.dhs.gov/2025/08/dhs-posts-notice-of-proposed-rulemaking-establishing-a-fixed-time-period-of-admission-and" TargetMode="External"/><Relationship Id="rId5" Type="http://schemas.openxmlformats.org/officeDocument/2006/relationships/styles" Target="styles.xml"/><Relationship Id="rId15" Type="http://schemas.openxmlformats.org/officeDocument/2006/relationships/hyperlink" Target="https://www.ed.gov/about/news/press-release/us-department-of-education-announces-six-new-agency-partnerships-break-federal-bureaucracy" TargetMode="External"/><Relationship Id="rId23" Type="http://schemas.openxmlformats.org/officeDocument/2006/relationships/hyperlink" Target="https://www.k12dive.com/news/white-house-school-discipline-DEI-Linda-McMahon/746322/" TargetMode="Externa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www.amazon.com/Privateers-Billionaires-Created-Culture-Vouchers/dp/168253910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assp.quorum.us/campaign/NASSPfy2026appropriations/" TargetMode="External"/><Relationship Id="rId22" Type="http://schemas.openxmlformats.org/officeDocument/2006/relationships/hyperlink" Target="https://nassp.sharepoint.com/:f:/s/AnonymousSharing/IgA5B2_YV6nBTa7dKxx8mElTAeb0V0w1ndbDdLzAQyn6UN0?e=CalVUw"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d707b51-0289-462f-9421-51f9c0e5765a" xsi:nil="true"/>
    <lcf76f155ced4ddcb4097134ff3c332f xmlns="8be6fedf-b840-483a-9aa2-9ec5fd76ce3e">
      <Terms xmlns="http://schemas.microsoft.com/office/infopath/2007/PartnerControls"/>
    </lcf76f155ced4ddcb4097134ff3c332f>
    <SharedWithUsers xmlns="ed707b51-0289-462f-9421-51f9c0e5765a">
      <UserInfo>
        <DisplayName>Silva, Jennifer A.</DisplayName>
        <AccountId>12</AccountId>
        <AccountType/>
      </UserInfo>
      <UserInfo>
        <DisplayName>Waples, Gregory</DisplayName>
        <AccountId>33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752F083F597247B5E723F3BFA10E38" ma:contentTypeVersion="17" ma:contentTypeDescription="Create a new document." ma:contentTypeScope="" ma:versionID="0ddad8db8e63aa8dbe316f086706f69d">
  <xsd:schema xmlns:xsd="http://www.w3.org/2001/XMLSchema" xmlns:xs="http://www.w3.org/2001/XMLSchema" xmlns:p="http://schemas.microsoft.com/office/2006/metadata/properties" xmlns:ns2="8be6fedf-b840-483a-9aa2-9ec5fd76ce3e" xmlns:ns3="ed707b51-0289-462f-9421-51f9c0e5765a" targetNamespace="http://schemas.microsoft.com/office/2006/metadata/properties" ma:root="true" ma:fieldsID="8de1111c4a6d4b34154c4f5af74bb99d" ns2:_="" ns3:_="">
    <xsd:import namespace="8be6fedf-b840-483a-9aa2-9ec5fd76ce3e"/>
    <xsd:import namespace="ed707b51-0289-462f-9421-51f9c0e576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e6fedf-b840-483a-9aa2-9ec5fd76ce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78371a4-b6af-477c-bf0d-62100440f02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707b51-0289-462f-9421-51f9c0e5765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936ee57-bb10-4f27-8a4c-2657e1648f0e}" ma:internalName="TaxCatchAll" ma:showField="CatchAllData" ma:web="ed707b51-0289-462f-9421-51f9c0e576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31DE3E-D815-4F38-82B3-23886F4CC84D}">
  <ds:schemaRefs>
    <ds:schemaRef ds:uri="http://schemas.microsoft.com/office/2006/metadata/properties"/>
    <ds:schemaRef ds:uri="http://schemas.microsoft.com/office/infopath/2007/PartnerControls"/>
    <ds:schemaRef ds:uri="ed707b51-0289-462f-9421-51f9c0e5765a"/>
    <ds:schemaRef ds:uri="8be6fedf-b840-483a-9aa2-9ec5fd76ce3e"/>
  </ds:schemaRefs>
</ds:datastoreItem>
</file>

<file path=customXml/itemProps2.xml><?xml version="1.0" encoding="utf-8"?>
<ds:datastoreItem xmlns:ds="http://schemas.openxmlformats.org/officeDocument/2006/customXml" ds:itemID="{79B615AA-B7F5-4CE3-B1D0-2DD39C0A7723}">
  <ds:schemaRefs>
    <ds:schemaRef ds:uri="http://schemas.microsoft.com/sharepoint/v3/contenttype/forms"/>
  </ds:schemaRefs>
</ds:datastoreItem>
</file>

<file path=customXml/itemProps3.xml><?xml version="1.0" encoding="utf-8"?>
<ds:datastoreItem xmlns:ds="http://schemas.openxmlformats.org/officeDocument/2006/customXml" ds:itemID="{57EDD288-A5A2-4A0A-92BF-CA5ACF098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e6fedf-b840-483a-9aa2-9ec5fd76ce3e"/>
    <ds:schemaRef ds:uri="ed707b51-0289-462f-9421-51f9c0e57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3006</Words>
  <Characters>16174</Characters>
  <Application>Microsoft Office Word</Application>
  <DocSecurity>0</DocSecurity>
  <Lines>317</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Waples, Gregory</dc:creator>
  <cp:keywords/>
  <dc:description/>
  <cp:lastModifiedBy>Yancy Frey</cp:lastModifiedBy>
  <cp:revision>2</cp:revision>
  <dcterms:created xsi:type="dcterms:W3CDTF">2025-12-10T16:51:00Z</dcterms:created>
  <dcterms:modified xsi:type="dcterms:W3CDTF">2025-12-10T16:51:00Z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0x010100A6752F083F597247B5E723F3BFA10E38</vt:lpwstr>
  </property>
  <property fmtid="{D5CDD505-2E9C-101B-9397-08002B2CF9AE}" pid="3" name="MediaServiceImageTags">
    <vt:lpwstr/>
  </property>
</Properties>
</file>